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663E4B">
      <w:pPr>
        <w:spacing w:line="360" w:lineRule="auto"/>
        <w:jc w:val="right"/>
        <w:rPr>
          <w:rFonts w:hint="eastAsia" w:ascii="宋体" w:hAnsi="宋体" w:eastAsia="宋体" w:cs="宋体"/>
          <w:bCs/>
          <w:color w:val="000000" w:themeColor="text1"/>
          <w:sz w:val="32"/>
          <w:szCs w:val="32"/>
          <w:lang w:eastAsia="zh-CN"/>
          <w14:textFill>
            <w14:solidFill>
              <w14:schemeClr w14:val="tx1"/>
            </w14:solidFill>
          </w14:textFill>
        </w:rPr>
      </w:pPr>
      <w:bookmarkStart w:id="0" w:name="_Hlk69393945"/>
      <w:bookmarkStart w:id="1" w:name="_Toc528771312"/>
      <w:bookmarkStart w:id="2" w:name="_Toc27744861"/>
      <w:r>
        <w:rPr>
          <w:rFonts w:hint="eastAsia" w:ascii="宋体" w:hAnsi="宋体" w:cs="宋体"/>
          <w:bCs/>
          <w:color w:val="000000" w:themeColor="text1"/>
          <w:sz w:val="32"/>
          <w:szCs w:val="32"/>
          <w14:textFill>
            <w14:solidFill>
              <w14:schemeClr w14:val="tx1"/>
            </w14:solidFill>
          </w14:textFill>
        </w:rPr>
        <w:t>编号：</w:t>
      </w:r>
      <w:r>
        <w:rPr>
          <w:rFonts w:hint="eastAsia" w:ascii="宋体" w:hAnsi="宋体" w:cs="宋体"/>
          <w:bCs/>
          <w:color w:val="000000" w:themeColor="text1"/>
          <w:sz w:val="32"/>
          <w:szCs w:val="32"/>
          <w:lang w:eastAsia="zh-CN"/>
          <w14:textFill>
            <w14:solidFill>
              <w14:schemeClr w14:val="tx1"/>
            </w14:solidFill>
          </w14:textFill>
        </w:rPr>
        <w:t>JSZC-321084-YZKD-C2026-0002</w:t>
      </w:r>
    </w:p>
    <w:p w14:paraId="6C481FF4">
      <w:pPr>
        <w:spacing w:line="360" w:lineRule="auto"/>
        <w:jc w:val="right"/>
        <w:rPr>
          <w:rFonts w:ascii="宋体" w:hAnsi="宋体" w:cs="宋体"/>
          <w:bCs/>
          <w:color w:val="000000" w:themeColor="text1"/>
          <w:sz w:val="32"/>
          <w:szCs w:val="32"/>
          <w14:textFill>
            <w14:solidFill>
              <w14:schemeClr w14:val="tx1"/>
            </w14:solidFill>
          </w14:textFill>
        </w:rPr>
      </w:pPr>
    </w:p>
    <w:p w14:paraId="1ABDEA0A">
      <w:pPr>
        <w:pStyle w:val="6"/>
        <w:spacing w:line="360" w:lineRule="auto"/>
        <w:jc w:val="center"/>
        <w:rPr>
          <w:rFonts w:ascii="宋体" w:hAnsi="宋体" w:cs="宋体"/>
          <w:color w:val="000000" w:themeColor="text1"/>
          <w:sz w:val="48"/>
          <w:szCs w:val="48"/>
          <w14:textFill>
            <w14:solidFill>
              <w14:schemeClr w14:val="tx1"/>
            </w14:solidFill>
          </w14:textFill>
        </w:rPr>
      </w:pPr>
      <w:r>
        <w:rPr>
          <w:rFonts w:hint="eastAsia" w:ascii="宋体" w:hAnsi="宋体" w:cs="宋体"/>
          <w:color w:val="000000" w:themeColor="text1"/>
          <w:sz w:val="48"/>
          <w:szCs w:val="48"/>
          <w14:textFill>
            <w14:solidFill>
              <w14:schemeClr w14:val="tx1"/>
            </w14:solidFill>
          </w14:textFill>
        </w:rPr>
        <w:t>高邮市菱塘回族乡四季高邮大虾项目一期工程</w:t>
      </w:r>
    </w:p>
    <w:p w14:paraId="5AF961CE">
      <w:pPr>
        <w:spacing w:line="360" w:lineRule="auto"/>
        <w:rPr>
          <w:rFonts w:ascii="宋体" w:hAnsi="宋体" w:cs="宋体"/>
          <w:b/>
          <w:color w:val="000000" w:themeColor="text1"/>
          <w:sz w:val="48"/>
          <w:szCs w:val="48"/>
          <w14:textFill>
            <w14:solidFill>
              <w14:schemeClr w14:val="tx1"/>
            </w14:solidFill>
          </w14:textFill>
        </w:rPr>
      </w:pPr>
    </w:p>
    <w:p w14:paraId="28148E88">
      <w:pPr>
        <w:spacing w:line="360" w:lineRule="auto"/>
        <w:rPr>
          <w:rFonts w:ascii="宋体" w:hAnsi="宋体" w:cs="宋体"/>
          <w:b/>
          <w:color w:val="000000" w:themeColor="text1"/>
          <w:sz w:val="48"/>
          <w:szCs w:val="48"/>
          <w14:textFill>
            <w14:solidFill>
              <w14:schemeClr w14:val="tx1"/>
            </w14:solidFill>
          </w14:textFill>
        </w:rPr>
      </w:pPr>
    </w:p>
    <w:p w14:paraId="23E1B1B9">
      <w:pPr>
        <w:spacing w:line="360" w:lineRule="auto"/>
        <w:rPr>
          <w:rFonts w:ascii="宋体" w:hAnsi="宋体" w:cs="宋体"/>
          <w:b/>
          <w:color w:val="000000" w:themeColor="text1"/>
          <w14:textFill>
            <w14:solidFill>
              <w14:schemeClr w14:val="tx1"/>
            </w14:solidFill>
          </w14:textFill>
        </w:rPr>
      </w:pPr>
    </w:p>
    <w:p w14:paraId="77F533F2">
      <w:pPr>
        <w:pStyle w:val="6"/>
        <w:spacing w:line="360" w:lineRule="auto"/>
        <w:rPr>
          <w:rFonts w:ascii="宋体" w:hAnsi="宋体" w:cs="宋体"/>
          <w:color w:val="000000" w:themeColor="text1"/>
          <w14:textFill>
            <w14:solidFill>
              <w14:schemeClr w14:val="tx1"/>
            </w14:solidFill>
          </w14:textFill>
        </w:rPr>
      </w:pPr>
    </w:p>
    <w:p w14:paraId="16097C2B">
      <w:pPr>
        <w:widowControl/>
        <w:kinsoku w:val="0"/>
        <w:autoSpaceDE w:val="0"/>
        <w:autoSpaceDN w:val="0"/>
        <w:adjustRightInd w:val="0"/>
        <w:snapToGrid w:val="0"/>
        <w:spacing w:line="360" w:lineRule="auto"/>
        <w:jc w:val="center"/>
        <w:textAlignment w:val="baseline"/>
        <w:rPr>
          <w:rFonts w:ascii="宋体" w:hAnsi="宋体" w:cs="宋体"/>
          <w:b/>
          <w:snapToGrid w:val="0"/>
          <w:color w:val="000000" w:themeColor="text1"/>
          <w:kern w:val="0"/>
          <w:sz w:val="72"/>
          <w:szCs w:val="72"/>
          <w14:textFill>
            <w14:solidFill>
              <w14:schemeClr w14:val="tx1"/>
            </w14:solidFill>
          </w14:textFill>
        </w:rPr>
      </w:pPr>
      <w:r>
        <w:rPr>
          <w:rFonts w:hint="eastAsia" w:ascii="宋体" w:hAnsi="宋体" w:cs="宋体"/>
          <w:b/>
          <w:snapToGrid w:val="0"/>
          <w:color w:val="000000" w:themeColor="text1"/>
          <w:kern w:val="0"/>
          <w:sz w:val="72"/>
          <w:szCs w:val="72"/>
          <w14:textFill>
            <w14:solidFill>
              <w14:schemeClr w14:val="tx1"/>
            </w14:solidFill>
          </w14:textFill>
        </w:rPr>
        <w:t>竞争性磋商文件</w:t>
      </w:r>
    </w:p>
    <w:p w14:paraId="7041EF6F">
      <w:pPr>
        <w:spacing w:line="360" w:lineRule="auto"/>
        <w:jc w:val="center"/>
        <w:rPr>
          <w:rFonts w:ascii="宋体" w:hAnsi="宋体" w:cs="宋体"/>
          <w:b/>
          <w:color w:val="000000" w:themeColor="text1"/>
          <w:sz w:val="36"/>
          <w14:textFill>
            <w14:solidFill>
              <w14:schemeClr w14:val="tx1"/>
            </w14:solidFill>
          </w14:textFill>
        </w:rPr>
      </w:pPr>
    </w:p>
    <w:p w14:paraId="2776D575">
      <w:pPr>
        <w:spacing w:line="360" w:lineRule="auto"/>
        <w:jc w:val="center"/>
        <w:rPr>
          <w:rFonts w:ascii="宋体" w:hAnsi="宋体" w:cs="宋体"/>
          <w:b/>
          <w:color w:val="000000" w:themeColor="text1"/>
          <w:sz w:val="36"/>
          <w14:textFill>
            <w14:solidFill>
              <w14:schemeClr w14:val="tx1"/>
            </w14:solidFill>
          </w14:textFill>
        </w:rPr>
      </w:pPr>
    </w:p>
    <w:p w14:paraId="39F5431B">
      <w:pPr>
        <w:pStyle w:val="6"/>
        <w:spacing w:line="360" w:lineRule="auto"/>
        <w:rPr>
          <w:rFonts w:ascii="宋体" w:hAnsi="宋体" w:cs="宋体"/>
          <w:color w:val="000000" w:themeColor="text1"/>
          <w14:textFill>
            <w14:solidFill>
              <w14:schemeClr w14:val="tx1"/>
            </w14:solidFill>
          </w14:textFill>
        </w:rPr>
      </w:pPr>
    </w:p>
    <w:p w14:paraId="091DFD40">
      <w:pPr>
        <w:pStyle w:val="6"/>
        <w:spacing w:line="360" w:lineRule="auto"/>
        <w:rPr>
          <w:rFonts w:ascii="宋体" w:hAnsi="宋体" w:cs="宋体"/>
          <w:color w:val="000000" w:themeColor="text1"/>
          <w14:textFill>
            <w14:solidFill>
              <w14:schemeClr w14:val="tx1"/>
            </w14:solidFill>
          </w14:textFill>
        </w:rPr>
      </w:pPr>
    </w:p>
    <w:p w14:paraId="75B9FDC3">
      <w:pPr>
        <w:spacing w:line="360" w:lineRule="auto"/>
        <w:rPr>
          <w:rFonts w:ascii="宋体" w:hAnsi="宋体" w:cs="宋体"/>
          <w:color w:val="000000" w:themeColor="text1"/>
          <w14:textFill>
            <w14:solidFill>
              <w14:schemeClr w14:val="tx1"/>
            </w14:solidFill>
          </w14:textFill>
        </w:rPr>
      </w:pPr>
    </w:p>
    <w:p w14:paraId="56901D1A">
      <w:pPr>
        <w:spacing w:line="360" w:lineRule="auto"/>
        <w:jc w:val="center"/>
        <w:rPr>
          <w:rFonts w:ascii="宋体" w:hAnsi="宋体" w:cs="宋体"/>
          <w:b/>
          <w:color w:val="000000" w:themeColor="text1"/>
          <w:sz w:val="36"/>
          <w14:textFill>
            <w14:solidFill>
              <w14:schemeClr w14:val="tx1"/>
            </w14:solidFill>
          </w14:textFill>
        </w:rPr>
      </w:pPr>
    </w:p>
    <w:p w14:paraId="48F04E3C">
      <w:pPr>
        <w:spacing w:line="360" w:lineRule="auto"/>
        <w:ind w:right="120" w:firstLine="1880" w:firstLineChars="650"/>
        <w:rPr>
          <w:rFonts w:ascii="宋体" w:hAnsi="宋体" w:cs="宋体"/>
          <w:b/>
          <w:bCs/>
          <w:color w:val="000000" w:themeColor="text1"/>
          <w:w w:val="90"/>
          <w:kern w:val="0"/>
          <w:sz w:val="32"/>
          <w:szCs w:val="32"/>
          <w14:textFill>
            <w14:solidFill>
              <w14:schemeClr w14:val="tx1"/>
            </w14:solidFill>
          </w14:textFill>
        </w:rPr>
      </w:pPr>
      <w:r>
        <w:rPr>
          <w:rFonts w:hint="eastAsia" w:ascii="宋体" w:hAnsi="宋体" w:cs="宋体"/>
          <w:b/>
          <w:bCs/>
          <w:color w:val="000000" w:themeColor="text1"/>
          <w:w w:val="90"/>
          <w:kern w:val="0"/>
          <w:sz w:val="32"/>
          <w:szCs w:val="32"/>
          <w14:textFill>
            <w14:solidFill>
              <w14:schemeClr w14:val="tx1"/>
            </w14:solidFill>
          </w14:textFill>
        </w:rPr>
        <w:t>采   购   人：高邮市菱塘回族乡人民政府</w:t>
      </w:r>
    </w:p>
    <w:p w14:paraId="4F3393C7">
      <w:pPr>
        <w:spacing w:line="360" w:lineRule="auto"/>
        <w:ind w:firstLine="1845" w:firstLineChars="638"/>
        <w:rPr>
          <w:rFonts w:ascii="宋体" w:hAnsi="宋体" w:cs="宋体"/>
          <w:b/>
          <w:bCs/>
          <w:color w:val="000000" w:themeColor="text1"/>
          <w:w w:val="90"/>
          <w:kern w:val="0"/>
          <w:sz w:val="32"/>
          <w:szCs w:val="32"/>
          <w14:textFill>
            <w14:solidFill>
              <w14:schemeClr w14:val="tx1"/>
            </w14:solidFill>
          </w14:textFill>
        </w:rPr>
      </w:pPr>
      <w:r>
        <w:rPr>
          <w:rFonts w:hint="eastAsia" w:ascii="宋体" w:hAnsi="宋体" w:cs="宋体"/>
          <w:b/>
          <w:bCs/>
          <w:color w:val="000000" w:themeColor="text1"/>
          <w:w w:val="90"/>
          <w:kern w:val="0"/>
          <w:sz w:val="32"/>
          <w:szCs w:val="32"/>
          <w14:textFill>
            <w14:solidFill>
              <w14:schemeClr w14:val="tx1"/>
            </w14:solidFill>
          </w14:textFill>
        </w:rPr>
        <w:t>采购代理机构：扬州市科达工程咨询有限公司</w:t>
      </w:r>
    </w:p>
    <w:p w14:paraId="472841D4">
      <w:pPr>
        <w:pStyle w:val="20"/>
        <w:tabs>
          <w:tab w:val="right" w:leader="dot" w:pos="8296"/>
        </w:tabs>
        <w:spacing w:line="360" w:lineRule="auto"/>
        <w:ind w:left="-13" w:leftChars="-6" w:firstLine="1937" w:firstLineChars="643"/>
        <w:rPr>
          <w:rFonts w:ascii="宋体" w:hAnsi="宋体" w:cs="宋体"/>
          <w:b/>
          <w:color w:val="000000" w:themeColor="text1"/>
          <w:sz w:val="30"/>
          <w:szCs w:val="30"/>
          <w14:textFill>
            <w14:solidFill>
              <w14:schemeClr w14:val="tx1"/>
            </w14:solidFill>
          </w14:textFill>
        </w:rPr>
        <w:sectPr>
          <w:headerReference r:id="rId3" w:type="default"/>
          <w:pgSz w:w="11906" w:h="16838"/>
          <w:pgMar w:top="1440" w:right="1134" w:bottom="1440" w:left="1134" w:header="851" w:footer="992" w:gutter="0"/>
          <w:cols w:space="720" w:num="1"/>
          <w:docGrid w:type="lines" w:linePitch="312" w:charSpace="0"/>
        </w:sectPr>
      </w:pPr>
      <w:r>
        <w:rPr>
          <w:rFonts w:hint="eastAsia" w:ascii="宋体" w:hAnsi="宋体" w:cs="宋体"/>
          <w:b/>
          <w:bCs/>
          <w:color w:val="000000" w:themeColor="text1"/>
          <w:spacing w:val="6"/>
          <w:w w:val="90"/>
          <w:kern w:val="0"/>
          <w:sz w:val="32"/>
          <w:szCs w:val="32"/>
          <w14:textFill>
            <w14:solidFill>
              <w14:schemeClr w14:val="tx1"/>
            </w14:solidFill>
          </w14:textFill>
        </w:rPr>
        <w:t>发 放 日 期</w:t>
      </w:r>
      <w:r>
        <w:rPr>
          <w:rFonts w:hint="eastAsia" w:ascii="宋体" w:hAnsi="宋体" w:cs="宋体"/>
          <w:b/>
          <w:bCs/>
          <w:color w:val="000000" w:themeColor="text1"/>
          <w:w w:val="90"/>
          <w:kern w:val="0"/>
          <w:sz w:val="32"/>
          <w:szCs w:val="32"/>
          <w14:textFill>
            <w14:solidFill>
              <w14:schemeClr w14:val="tx1"/>
            </w14:solidFill>
          </w14:textFill>
        </w:rPr>
        <w:t>：</w:t>
      </w:r>
      <w:bookmarkStart w:id="3" w:name="EB59c3faf64f2a4bd092a206fb1d0c3c03"/>
      <w:r>
        <w:rPr>
          <w:rFonts w:hint="eastAsia" w:ascii="宋体" w:hAnsi="宋体" w:cs="宋体"/>
          <w:b/>
          <w:bCs/>
          <w:color w:val="000000" w:themeColor="text1"/>
          <w:w w:val="90"/>
          <w:kern w:val="0"/>
          <w:sz w:val="32"/>
          <w:szCs w:val="32"/>
          <w14:textFill>
            <w14:solidFill>
              <w14:schemeClr w14:val="tx1"/>
            </w14:solidFill>
          </w14:textFill>
        </w:rPr>
        <w:t>2026年</w:t>
      </w:r>
      <w:bookmarkEnd w:id="3"/>
      <w:r>
        <w:rPr>
          <w:rFonts w:hint="eastAsia" w:ascii="宋体" w:hAnsi="宋体" w:cs="宋体"/>
          <w:b/>
          <w:bCs/>
          <w:color w:val="000000" w:themeColor="text1"/>
          <w:w w:val="90"/>
          <w:kern w:val="0"/>
          <w:sz w:val="32"/>
          <w:szCs w:val="32"/>
          <w14:textFill>
            <w14:solidFill>
              <w14:schemeClr w14:val="tx1"/>
            </w14:solidFill>
          </w14:textFill>
        </w:rPr>
        <w:t>04月</w:t>
      </w:r>
    </w:p>
    <w:p w14:paraId="1E22E3A7">
      <w:pPr>
        <w:spacing w:line="360" w:lineRule="auto"/>
        <w:jc w:val="center"/>
        <w:rPr>
          <w:rFonts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t>目 录</w:t>
      </w:r>
    </w:p>
    <w:p w14:paraId="3D6E7657">
      <w:pPr>
        <w:pStyle w:val="20"/>
        <w:tabs>
          <w:tab w:val="right" w:leader="dot" w:pos="8296"/>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8"/>
          <w14:textFill>
            <w14:solidFill>
              <w14:schemeClr w14:val="tx1"/>
            </w14:solidFill>
          </w14:textFill>
        </w:rPr>
        <w:fldChar w:fldCharType="begin"/>
      </w:r>
      <w:r>
        <w:rPr>
          <w:rFonts w:hint="eastAsia" w:ascii="宋体" w:hAnsi="宋体" w:cs="宋体"/>
          <w:color w:val="000000" w:themeColor="text1"/>
          <w:sz w:val="28"/>
          <w14:textFill>
            <w14:solidFill>
              <w14:schemeClr w14:val="tx1"/>
            </w14:solidFill>
          </w14:textFill>
        </w:rPr>
        <w:instrText xml:space="preserve"> TOC \o "1-3" \f </w:instrText>
      </w:r>
      <w:r>
        <w:rPr>
          <w:rFonts w:hint="eastAsia" w:ascii="宋体" w:hAnsi="宋体" w:cs="宋体"/>
          <w:color w:val="000000" w:themeColor="text1"/>
          <w:sz w:val="28"/>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第一章  高邮市菱塘回族乡四季高邮大虾项目一期工程的采购公告</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1</w:t>
      </w:r>
    </w:p>
    <w:p w14:paraId="7319EB0D">
      <w:pPr>
        <w:pStyle w:val="20"/>
        <w:tabs>
          <w:tab w:val="right" w:leader="dot" w:pos="8296"/>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第二章  磋商须知</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5</w:t>
      </w:r>
    </w:p>
    <w:p w14:paraId="68593388">
      <w:pPr>
        <w:pStyle w:val="20"/>
        <w:tabs>
          <w:tab w:val="right" w:leader="dot" w:pos="8296"/>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第三章  合同条款及格式</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16</w:t>
      </w:r>
    </w:p>
    <w:p w14:paraId="5FB581CD">
      <w:pPr>
        <w:pStyle w:val="20"/>
        <w:tabs>
          <w:tab w:val="right" w:leader="dot" w:pos="8296"/>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第四章  项目需求</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_Toc109304974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19</w:t>
      </w:r>
      <w:r>
        <w:rPr>
          <w:rFonts w:hint="eastAsia" w:ascii="宋体" w:hAnsi="宋体" w:cs="宋体"/>
          <w:color w:val="000000" w:themeColor="text1"/>
          <w14:textFill>
            <w14:solidFill>
              <w14:schemeClr w14:val="tx1"/>
            </w14:solidFill>
          </w14:textFill>
        </w:rPr>
        <w:fldChar w:fldCharType="end"/>
      </w:r>
    </w:p>
    <w:p w14:paraId="177795C7">
      <w:pPr>
        <w:pStyle w:val="20"/>
        <w:tabs>
          <w:tab w:val="right" w:leader="dot" w:pos="8296"/>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第五章  评审方法及评审标准</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_Toc109304975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22</w:t>
      </w:r>
      <w:r>
        <w:rPr>
          <w:rFonts w:hint="eastAsia" w:ascii="宋体" w:hAnsi="宋体" w:cs="宋体"/>
          <w:color w:val="000000" w:themeColor="text1"/>
          <w14:textFill>
            <w14:solidFill>
              <w14:schemeClr w14:val="tx1"/>
            </w14:solidFill>
          </w14:textFill>
        </w:rPr>
        <w:fldChar w:fldCharType="end"/>
      </w:r>
    </w:p>
    <w:p w14:paraId="2711D6A1">
      <w:pPr>
        <w:pStyle w:val="20"/>
        <w:tabs>
          <w:tab w:val="right" w:leader="dot" w:pos="8296"/>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第六章  竞争性磋商响应文件格式</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_Toc109304976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w:t>
      </w:r>
      <w:r>
        <w:rPr>
          <w:rFonts w:hint="eastAsia" w:ascii="宋体" w:hAnsi="宋体" w:cs="宋体"/>
          <w:color w:val="000000" w:themeColor="text1"/>
          <w:lang w:val="en-US" w:eastAsia="zh-CN"/>
          <w14:textFill>
            <w14:solidFill>
              <w14:schemeClr w14:val="tx1"/>
            </w14:solidFill>
          </w14:textFill>
        </w:rPr>
        <w:t>7</w:t>
      </w:r>
      <w:r>
        <w:rPr>
          <w:rFonts w:hint="eastAsia" w:ascii="宋体" w:hAnsi="宋体" w:cs="宋体"/>
          <w:color w:val="000000" w:themeColor="text1"/>
          <w14:textFill>
            <w14:solidFill>
              <w14:schemeClr w14:val="tx1"/>
            </w14:solidFill>
          </w14:textFill>
        </w:rPr>
        <w:fldChar w:fldCharType="end"/>
      </w:r>
    </w:p>
    <w:p w14:paraId="6A966E6A">
      <w:pPr>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fldChar w:fldCharType="end"/>
      </w:r>
    </w:p>
    <w:p w14:paraId="3B0155C3">
      <w:pPr>
        <w:spacing w:line="360" w:lineRule="auto"/>
        <w:rPr>
          <w:rFonts w:ascii="宋体" w:hAnsi="宋体" w:cs="宋体"/>
          <w:color w:val="000000" w:themeColor="text1"/>
          <w14:textFill>
            <w14:solidFill>
              <w14:schemeClr w14:val="tx1"/>
            </w14:solidFill>
          </w14:textFill>
        </w:rPr>
      </w:pPr>
    </w:p>
    <w:p w14:paraId="5A08BF23">
      <w:pPr>
        <w:pStyle w:val="3"/>
        <w:numPr>
          <w:ilvl w:val="0"/>
          <w:numId w:val="1"/>
        </w:numPr>
        <w:spacing w:line="360" w:lineRule="auto"/>
        <w:jc w:val="center"/>
        <w:rPr>
          <w:rFonts w:ascii="宋体" w:hAnsi="宋体" w:cs="宋体"/>
          <w:color w:val="000000" w:themeColor="text1"/>
          <w:sz w:val="32"/>
          <w:szCs w:val="32"/>
          <w14:textFill>
            <w14:solidFill>
              <w14:schemeClr w14:val="tx1"/>
            </w14:solidFill>
          </w14:textFill>
        </w:rPr>
        <w:sectPr>
          <w:footerReference r:id="rId6" w:type="first"/>
          <w:headerReference r:id="rId4" w:type="default"/>
          <w:footerReference r:id="rId5" w:type="default"/>
          <w:pgSz w:w="11906" w:h="16838"/>
          <w:pgMar w:top="1417" w:right="1134" w:bottom="1417" w:left="1134" w:header="851" w:footer="992" w:gutter="0"/>
          <w:cols w:space="720" w:num="1"/>
          <w:titlePg/>
          <w:docGrid w:linePitch="360" w:charSpace="0"/>
        </w:sectPr>
      </w:pPr>
      <w:bookmarkStart w:id="4" w:name="_Toc109304962"/>
      <w:bookmarkStart w:id="5" w:name="_Toc109304965"/>
    </w:p>
    <w:p w14:paraId="1AC49ADD">
      <w:pPr>
        <w:pStyle w:val="3"/>
        <w:spacing w:line="240" w:lineRule="auto"/>
        <w:ind w:left="1080" w:hanging="1080"/>
        <w:jc w:val="center"/>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t>第一章</w:t>
      </w:r>
      <w:r>
        <w:rPr>
          <w:rFonts w:hint="eastAsia" w:ascii="宋体" w:hAnsi="宋体" w:cs="宋体"/>
          <w:color w:val="000000" w:themeColor="text1"/>
          <w:sz w:val="32"/>
          <w:szCs w:val="32"/>
          <w14:textFill>
            <w14:solidFill>
              <w14:schemeClr w14:val="tx1"/>
            </w14:solidFill>
          </w14:textFill>
        </w:rPr>
        <w:t xml:space="preserve"> 高邮市菱塘回族乡四季高邮大虾项目一期工程的</w:t>
      </w:r>
    </w:p>
    <w:p w14:paraId="218D9420">
      <w:pPr>
        <w:pStyle w:val="3"/>
        <w:spacing w:line="240" w:lineRule="auto"/>
        <w:ind w:left="1080" w:hanging="1080"/>
        <w:jc w:val="cente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采购公告</w:t>
      </w:r>
      <w:bookmarkEnd w:id="4"/>
    </w:p>
    <w:p w14:paraId="1DC9B2D0">
      <w:pPr>
        <w:pBdr>
          <w:top w:val="single" w:color="auto" w:sz="4" w:space="1"/>
          <w:left w:val="single" w:color="auto" w:sz="4" w:space="4"/>
          <w:bottom w:val="single" w:color="auto" w:sz="4" w:space="1"/>
          <w:right w:val="single" w:color="auto" w:sz="4" w:space="4"/>
        </w:pBd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项目概况：</w:t>
      </w:r>
    </w:p>
    <w:p w14:paraId="623DD588">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高邮市菱塘回族乡四季高邮大虾项目一期工程</w:t>
      </w:r>
      <w:r>
        <w:rPr>
          <w:rFonts w:hint="eastAsia" w:ascii="宋体" w:hAnsi="宋体" w:cs="宋体"/>
          <w:color w:val="000000" w:themeColor="text1"/>
          <w:szCs w:val="21"/>
          <w14:textFill>
            <w14:solidFill>
              <w14:schemeClr w14:val="tx1"/>
            </w14:solidFill>
          </w14:textFill>
        </w:rPr>
        <w:t>的潜在供应商可在苏采云系统内自行免费下载采购文件，并于</w:t>
      </w:r>
      <w:r>
        <w:rPr>
          <w:rFonts w:hint="eastAsia" w:ascii="宋体" w:hAnsi="宋体" w:cs="宋体"/>
          <w:color w:val="000000" w:themeColor="text1"/>
          <w:szCs w:val="21"/>
          <w:u w:val="single"/>
          <w:lang w:eastAsia="zh-CN"/>
          <w14:textFill>
            <w14:solidFill>
              <w14:schemeClr w14:val="tx1"/>
            </w14:solidFill>
          </w14:textFill>
        </w:rPr>
        <w:t>2026年04月16日  09</w:t>
      </w:r>
      <w:r>
        <w:rPr>
          <w:rFonts w:hint="eastAsia" w:ascii="宋体" w:hAnsi="宋体" w:cs="宋体"/>
          <w:color w:val="000000" w:themeColor="text1"/>
          <w:szCs w:val="21"/>
          <w:u w:val="single"/>
          <w:lang w:val="en-US" w:eastAsia="zh-CN"/>
          <w14:textFill>
            <w14:solidFill>
              <w14:schemeClr w14:val="tx1"/>
            </w14:solidFill>
          </w14:textFill>
        </w:rPr>
        <w:t>时</w:t>
      </w:r>
      <w:r>
        <w:rPr>
          <w:rFonts w:hint="eastAsia" w:ascii="宋体" w:hAnsi="宋体" w:cs="宋体"/>
          <w:color w:val="000000" w:themeColor="text1"/>
          <w:szCs w:val="21"/>
          <w:u w:val="single"/>
          <w:lang w:eastAsia="zh-CN"/>
          <w14:textFill>
            <w14:solidFill>
              <w14:schemeClr w14:val="tx1"/>
            </w14:solidFill>
          </w14:textFill>
        </w:rPr>
        <w:t>00分</w:t>
      </w:r>
      <w:r>
        <w:rPr>
          <w:rFonts w:hint="eastAsia" w:ascii="宋体" w:hAnsi="宋体" w:cs="宋体"/>
          <w:color w:val="000000" w:themeColor="text1"/>
          <w:szCs w:val="21"/>
          <w14:textFill>
            <w14:solidFill>
              <w14:schemeClr w14:val="tx1"/>
            </w14:solidFill>
          </w14:textFill>
        </w:rPr>
        <w:t>（北京时间）前提交响应文件。</w:t>
      </w:r>
    </w:p>
    <w:p w14:paraId="1EDEB572">
      <w:pPr>
        <w:pStyle w:val="4"/>
        <w:spacing w:before="0" w:after="0" w:line="360" w:lineRule="auto"/>
        <w:rPr>
          <w:rFonts w:ascii="宋体" w:hAnsi="宋体" w:cs="宋体"/>
          <w:bCs w:val="0"/>
          <w:color w:val="000000" w:themeColor="text1"/>
          <w:sz w:val="21"/>
          <w:szCs w:val="21"/>
          <w14:textFill>
            <w14:solidFill>
              <w14:schemeClr w14:val="tx1"/>
            </w14:solidFill>
          </w14:textFill>
        </w:rPr>
      </w:pPr>
      <w:bookmarkStart w:id="6" w:name="_Toc109304963"/>
      <w:r>
        <w:rPr>
          <w:rFonts w:hint="eastAsia" w:ascii="宋体" w:hAnsi="宋体" w:cs="宋体"/>
          <w:bCs w:val="0"/>
          <w:color w:val="000000" w:themeColor="text1"/>
          <w:sz w:val="21"/>
          <w:szCs w:val="21"/>
          <w14:textFill>
            <w14:solidFill>
              <w14:schemeClr w14:val="tx1"/>
            </w14:solidFill>
          </w14:textFill>
        </w:rPr>
        <w:t>一、项目基本情况</w:t>
      </w:r>
      <w:bookmarkEnd w:id="6"/>
    </w:p>
    <w:p w14:paraId="4664C036">
      <w:pPr>
        <w:spacing w:line="360" w:lineRule="auto"/>
        <w:ind w:firstLine="420" w:firstLineChars="200"/>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1.项目编号：</w:t>
      </w:r>
      <w:r>
        <w:rPr>
          <w:rFonts w:hint="eastAsia" w:ascii="宋体" w:hAnsi="宋体" w:cs="宋体"/>
          <w:color w:val="000000" w:themeColor="text1"/>
          <w:szCs w:val="21"/>
          <w:lang w:eastAsia="zh-CN"/>
          <w14:textFill>
            <w14:solidFill>
              <w14:schemeClr w14:val="tx1"/>
            </w14:solidFill>
          </w14:textFill>
        </w:rPr>
        <w:t>JSZC-321084-YZKD-C2026-0002</w:t>
      </w:r>
    </w:p>
    <w:p w14:paraId="478B903A">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2.项目名称：高邮市菱塘回族乡四季高邮大虾项目一期工程</w:t>
      </w:r>
    </w:p>
    <w:p w14:paraId="7B64A89C">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3.采购方式：□竞争性谈判 ☑竞争性磋商 □询价</w:t>
      </w:r>
    </w:p>
    <w:p w14:paraId="071D17C3">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4.项目预算价：397.86万元</w:t>
      </w:r>
    </w:p>
    <w:p w14:paraId="0EA4F9CF">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5.最高限价：358.07</w:t>
      </w:r>
      <w:r>
        <w:rPr>
          <w:rFonts w:hint="eastAsia" w:ascii="宋体" w:hAnsi="宋体" w:cs="宋体"/>
          <w:color w:val="000000" w:themeColor="text1"/>
          <w:szCs w:val="21"/>
          <w:lang w:val="en-US" w:eastAsia="zh-CN"/>
          <w14:textFill>
            <w14:solidFill>
              <w14:schemeClr w14:val="tx1"/>
            </w14:solidFill>
          </w14:textFill>
        </w:rPr>
        <w:t>万元</w:t>
      </w:r>
      <w:r>
        <w:rPr>
          <w:rFonts w:hint="eastAsia" w:ascii="宋体" w:hAnsi="宋体" w:cs="宋体"/>
          <w:color w:val="000000" w:themeColor="text1"/>
          <w:spacing w:val="-1"/>
          <w14:textFill>
            <w14:solidFill>
              <w14:schemeClr w14:val="tx1"/>
            </w14:solidFill>
          </w14:textFill>
        </w:rPr>
        <w:t>（报价高于最高限价的为无效投标）</w:t>
      </w:r>
    </w:p>
    <w:p w14:paraId="2B6B20AF">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采购需求：本工程为高邮市菱塘回族乡四季高邮大虾项目一期工程，主要建设内容包括新建1座连栋大棚约8000平方米和2座单体大棚约8800平方米，合计16800平方米，包括：大棚、室外排水设施施工等，详见图纸、工程量清单及采购文件第四章项目需求。</w:t>
      </w:r>
    </w:p>
    <w:p w14:paraId="152F7EB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7.合同履行期限：90日历天 (以实际开工日期为准)。</w:t>
      </w:r>
    </w:p>
    <w:p w14:paraId="682A3221">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8.本项目</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b/>
          <w:bCs/>
          <w:color w:val="000000" w:themeColor="text1"/>
          <w:szCs w:val="21"/>
          <w:u w:val="single"/>
          <w14:textFill>
            <w14:solidFill>
              <w14:schemeClr w14:val="tx1"/>
            </w14:solidFill>
          </w14:textFill>
        </w:rPr>
        <w:t>不接受</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联合体响应，中标后禁止转包和分包。</w:t>
      </w:r>
    </w:p>
    <w:p w14:paraId="659EEB81">
      <w:pPr>
        <w:pStyle w:val="4"/>
        <w:spacing w:before="0" w:after="0" w:line="360" w:lineRule="auto"/>
        <w:rPr>
          <w:rFonts w:ascii="宋体" w:hAnsi="宋体" w:cs="宋体"/>
          <w:bCs w:val="0"/>
          <w:color w:val="000000" w:themeColor="text1"/>
          <w:sz w:val="21"/>
          <w:szCs w:val="21"/>
          <w14:textFill>
            <w14:solidFill>
              <w14:schemeClr w14:val="tx1"/>
            </w14:solidFill>
          </w14:textFill>
        </w:rPr>
      </w:pPr>
      <w:bookmarkStart w:id="7" w:name="_Toc109304964"/>
      <w:r>
        <w:rPr>
          <w:rFonts w:hint="eastAsia" w:ascii="宋体" w:hAnsi="宋体" w:cs="宋体"/>
          <w:bCs w:val="0"/>
          <w:color w:val="000000" w:themeColor="text1"/>
          <w:sz w:val="21"/>
          <w:szCs w:val="21"/>
          <w14:textFill>
            <w14:solidFill>
              <w14:schemeClr w14:val="tx1"/>
            </w14:solidFill>
          </w14:textFill>
        </w:rPr>
        <w:t>二、申请人的资格要求：</w:t>
      </w:r>
      <w:bookmarkEnd w:id="7"/>
    </w:p>
    <w:p w14:paraId="38A786ED">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1.满足《中华人民共和国政府采购法》第二十二条规定，并提供下列材料：</w:t>
      </w:r>
    </w:p>
    <w:p w14:paraId="01EE1FEA">
      <w:pPr>
        <w:spacing w:line="360" w:lineRule="auto"/>
        <w:ind w:firstLine="420" w:firstLineChars="200"/>
        <w:rPr>
          <w:rFonts w:hint="eastAsia" w:ascii="宋体" w:hAnsi="宋体" w:eastAsia="宋体" w:cs="宋体"/>
          <w:i/>
          <w:iCs/>
          <w:color w:val="000000" w:themeColor="text1"/>
          <w:szCs w:val="21"/>
          <w:u w:val="single"/>
          <w:lang w:eastAsia="zh-CN"/>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1.1法人或者其他组织的营业执照等证明文件，自然人身份证明</w:t>
      </w:r>
      <w:r>
        <w:rPr>
          <w:rFonts w:hint="eastAsia" w:ascii="宋体" w:hAnsi="宋体" w:cs="宋体"/>
          <w:i/>
          <w:iCs/>
          <w:color w:val="000000" w:themeColor="text1"/>
          <w:szCs w:val="21"/>
          <w:u w:val="single"/>
          <w:lang w:eastAsia="zh-CN"/>
          <w14:textFill>
            <w14:solidFill>
              <w14:schemeClr w14:val="tx1"/>
            </w14:solidFill>
          </w14:textFill>
        </w:rPr>
        <w:t>；</w:t>
      </w:r>
    </w:p>
    <w:p w14:paraId="218C47CC">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1.2依法缴纳职工社会保障资金的证明材料</w:t>
      </w:r>
      <w:r>
        <w:rPr>
          <w:rFonts w:hint="eastAsia" w:ascii="宋体" w:hAnsi="宋体" w:cs="宋体"/>
          <w:i/>
          <w:iCs/>
          <w:color w:val="000000" w:themeColor="text1"/>
          <w:szCs w:val="21"/>
          <w:u w:val="single"/>
          <w:lang w:eastAsia="zh-CN"/>
          <w14:textFill>
            <w14:solidFill>
              <w14:schemeClr w14:val="tx1"/>
            </w14:solidFill>
          </w14:textFill>
        </w:rPr>
        <w:t>；</w:t>
      </w:r>
      <w:r>
        <w:rPr>
          <w:rFonts w:hint="eastAsia" w:ascii="宋体" w:hAnsi="宋体" w:cs="宋体"/>
          <w:b/>
          <w:bCs/>
          <w:i/>
          <w:iCs/>
          <w:color w:val="000000" w:themeColor="text1"/>
          <w:szCs w:val="21"/>
          <w:u w:val="single"/>
          <w14:textFill>
            <w14:solidFill>
              <w14:schemeClr w14:val="tx1"/>
            </w14:solidFill>
          </w14:textFill>
        </w:rPr>
        <w:t>(税务、银行或社会保险基金管理部门出具的近三个月内任意一个月缴纳职工社会保障资金的缴款凭证或缴款证明)（供应商依法享受缓缴、免缴的提供证明材料）</w:t>
      </w:r>
    </w:p>
    <w:p w14:paraId="074BB14B">
      <w:pPr>
        <w:spacing w:line="360" w:lineRule="auto"/>
        <w:ind w:firstLine="420" w:firstLineChars="200"/>
        <w:rPr>
          <w:rFonts w:ascii="宋体" w:hAnsi="宋体" w:cs="宋体"/>
          <w:b/>
          <w:bCs/>
          <w:i/>
          <w:iCs/>
          <w:color w:val="000000" w:themeColor="text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1.3供应商近三个月内任意一份依法纳税的缴款凭证</w:t>
      </w:r>
      <w:r>
        <w:rPr>
          <w:rFonts w:hint="eastAsia" w:ascii="宋体" w:hAnsi="宋体" w:cs="宋体"/>
          <w:i/>
          <w:iCs/>
          <w:color w:val="000000" w:themeColor="text1"/>
          <w:szCs w:val="21"/>
          <w:u w:val="single"/>
          <w:lang w:eastAsia="zh-CN"/>
          <w14:textFill>
            <w14:solidFill>
              <w14:schemeClr w14:val="tx1"/>
            </w14:solidFill>
          </w14:textFill>
        </w:rPr>
        <w:t>；</w:t>
      </w:r>
      <w:r>
        <w:rPr>
          <w:rFonts w:hint="eastAsia" w:ascii="宋体" w:hAnsi="宋体" w:cs="宋体"/>
          <w:b/>
          <w:bCs/>
          <w:i/>
          <w:iCs/>
          <w:color w:val="000000" w:themeColor="text1"/>
          <w:szCs w:val="21"/>
          <w:u w:val="single"/>
          <w14:textFill>
            <w14:solidFill>
              <w14:schemeClr w14:val="tx1"/>
            </w14:solidFill>
          </w14:textFill>
        </w:rPr>
        <w:t>（供应商依法享受缓缴、免缴的提供证明材料）</w:t>
      </w:r>
    </w:p>
    <w:p w14:paraId="26CF3C9A">
      <w:pPr>
        <w:spacing w:line="360" w:lineRule="auto"/>
        <w:ind w:firstLine="420" w:firstLineChars="200"/>
        <w:rPr>
          <w:rFonts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1.4上一年度财务报告情况</w:t>
      </w:r>
      <w:r>
        <w:rPr>
          <w:rFonts w:hint="eastAsia" w:ascii="宋体" w:hAnsi="宋体" w:cs="宋体"/>
          <w:i/>
          <w:iCs/>
          <w:color w:val="000000" w:themeColor="text1"/>
          <w:szCs w:val="21"/>
          <w:u w:val="single"/>
          <w:lang w:eastAsia="zh-CN"/>
          <w14:textFill>
            <w14:solidFill>
              <w14:schemeClr w14:val="tx1"/>
            </w14:solidFill>
          </w14:textFill>
        </w:rPr>
        <w:t>；</w:t>
      </w:r>
      <w:r>
        <w:rPr>
          <w:rFonts w:hint="eastAsia" w:ascii="宋体" w:hAnsi="宋体" w:cs="宋体"/>
          <w:b/>
          <w:bCs/>
          <w:i/>
          <w:iCs/>
          <w:color w:val="000000" w:themeColor="text1"/>
          <w:szCs w:val="21"/>
          <w:u w:val="single"/>
          <w14:textFill>
            <w14:solidFill>
              <w14:schemeClr w14:val="tx1"/>
            </w14:solidFill>
          </w14:textFill>
        </w:rPr>
        <w:t>（注册不满一年的无需提供）</w:t>
      </w:r>
    </w:p>
    <w:p w14:paraId="38D03ECA">
      <w:pPr>
        <w:spacing w:line="360" w:lineRule="auto"/>
        <w:ind w:firstLine="420" w:firstLineChars="200"/>
        <w:rPr>
          <w:rFonts w:hint="eastAsia" w:ascii="宋体" w:hAnsi="宋体" w:eastAsia="宋体" w:cs="宋体"/>
          <w:i/>
          <w:iCs/>
          <w:color w:val="000000" w:themeColor="text1"/>
          <w:szCs w:val="21"/>
          <w:u w:val="single"/>
          <w:lang w:eastAsia="zh-CN"/>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1.5具备履行合同所必需的设备和专业技术能力的证明材料</w:t>
      </w:r>
      <w:r>
        <w:rPr>
          <w:rFonts w:hint="eastAsia" w:ascii="宋体" w:hAnsi="宋体" w:cs="宋体"/>
          <w:i/>
          <w:iCs/>
          <w:color w:val="000000" w:themeColor="text1"/>
          <w:szCs w:val="21"/>
          <w:u w:val="single"/>
          <w:lang w:eastAsia="zh-CN"/>
          <w14:textFill>
            <w14:solidFill>
              <w14:schemeClr w14:val="tx1"/>
            </w14:solidFill>
          </w14:textFill>
        </w:rPr>
        <w:t>；</w:t>
      </w:r>
    </w:p>
    <w:p w14:paraId="289BC4A1">
      <w:pPr>
        <w:spacing w:line="360" w:lineRule="auto"/>
        <w:ind w:firstLine="420" w:firstLineChars="200"/>
        <w:rPr>
          <w:rFonts w:hint="eastAsia" w:ascii="宋体" w:hAnsi="宋体" w:eastAsia="宋体" w:cs="宋体"/>
          <w:i/>
          <w:iCs/>
          <w:color w:val="000000" w:themeColor="text1"/>
          <w:szCs w:val="21"/>
          <w:u w:val="single"/>
          <w:lang w:eastAsia="zh-CN"/>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1.6参加本次政府采购活动前3年内在经营活动中没有重大违法记录的书面声明</w:t>
      </w:r>
      <w:r>
        <w:rPr>
          <w:rFonts w:hint="eastAsia" w:ascii="宋体" w:hAnsi="宋体" w:cs="宋体"/>
          <w:i/>
          <w:iCs/>
          <w:color w:val="000000" w:themeColor="text1"/>
          <w:szCs w:val="21"/>
          <w:u w:val="single"/>
          <w:lang w:eastAsia="zh-CN"/>
          <w14:textFill>
            <w14:solidFill>
              <w14:schemeClr w14:val="tx1"/>
            </w14:solidFill>
          </w14:textFill>
        </w:rPr>
        <w:t>；</w:t>
      </w:r>
    </w:p>
    <w:p w14:paraId="4B8DBF3A">
      <w:pPr>
        <w:spacing w:line="360" w:lineRule="auto"/>
        <w:ind w:firstLine="420" w:firstLineChars="200"/>
        <w:rPr>
          <w:rFonts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1.7未被“信用中国”网站（www.creditchina.gov.cn）、“中国政府采购网"(www.ccgp.gov.cn)列入失信被执行人、重大税收违法案件当事人名单、政府采购严重违法失信行为记录名单；</w:t>
      </w:r>
    </w:p>
    <w:p w14:paraId="6FC0D069">
      <w:pPr>
        <w:spacing w:line="360" w:lineRule="auto"/>
        <w:ind w:firstLine="420" w:firstLineChars="200"/>
        <w:rPr>
          <w:rFonts w:hint="eastAsia" w:ascii="宋体" w:hAnsi="宋体" w:eastAsia="宋体" w:cs="宋体"/>
          <w:i/>
          <w:iCs/>
          <w:color w:val="000000" w:themeColor="text1"/>
          <w:szCs w:val="21"/>
          <w:u w:val="single"/>
          <w:lang w:eastAsia="zh-CN"/>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1.8供应商信用承诺函</w:t>
      </w:r>
      <w:r>
        <w:rPr>
          <w:rFonts w:hint="eastAsia" w:ascii="宋体" w:hAnsi="宋体" w:cs="宋体"/>
          <w:i/>
          <w:iCs/>
          <w:color w:val="000000" w:themeColor="text1"/>
          <w:szCs w:val="21"/>
          <w:u w:val="single"/>
          <w:lang w:eastAsia="zh-CN"/>
          <w14:textFill>
            <w14:solidFill>
              <w14:schemeClr w14:val="tx1"/>
            </w14:solidFill>
          </w14:textFill>
        </w:rPr>
        <w:t>。</w:t>
      </w:r>
    </w:p>
    <w:p w14:paraId="74BAF9D8">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2.落实政府采购政策需满足的资格要求：</w:t>
      </w:r>
      <w:r>
        <w:rPr>
          <w:rFonts w:hint="eastAsia" w:ascii="宋体" w:hAnsi="宋体" w:cs="宋体"/>
          <w:i/>
          <w:iCs/>
          <w:color w:val="000000" w:themeColor="text1"/>
          <w:szCs w:val="21"/>
          <w:u w:val="single"/>
          <w14:textFill>
            <w14:solidFill>
              <w14:schemeClr w14:val="tx1"/>
            </w14:solidFill>
          </w14:textFill>
        </w:rPr>
        <w:t>根据《政府采购促进中小企业发展管理办法》（财库〔2020〕46 号）规定，本项目专门面向中小企业采购，供应商磋商响应时须提供《中小企业声明函》，《中小企业声明函》不符合要求或未提供的，响应文件无效。</w:t>
      </w:r>
      <w:r>
        <w:rPr>
          <w:rFonts w:hint="eastAsia" w:ascii="宋体" w:hAnsi="宋体" w:cs="宋体"/>
          <w:i/>
          <w:color w:val="000000" w:themeColor="text1"/>
          <w:szCs w:val="21"/>
          <w:u w:val="single"/>
          <w14:textFill>
            <w14:solidFill>
              <w14:schemeClr w14:val="tx1"/>
            </w14:solidFill>
          </w14:textFill>
        </w:rPr>
        <w:t>本项目采购标的按中小企业划分标准所属行业区分为建筑业。</w:t>
      </w:r>
    </w:p>
    <w:p w14:paraId="288CDD85">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3.本项目的特定资格要求：</w:t>
      </w:r>
    </w:p>
    <w:p w14:paraId="3E4D8D14">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3.1供应商必须具备独立承担民事责任能力，具备建筑</w:t>
      </w:r>
      <w:r>
        <w:rPr>
          <w:rFonts w:hint="eastAsia" w:ascii="宋体" w:hAnsi="宋体" w:cs="宋体"/>
          <w:i/>
          <w:iCs/>
          <w:color w:val="000000" w:themeColor="text1"/>
          <w:szCs w:val="21"/>
          <w:u w:val="single"/>
          <w:lang w:val="en-US" w:eastAsia="zh-CN"/>
          <w14:textFill>
            <w14:solidFill>
              <w14:schemeClr w14:val="tx1"/>
            </w14:solidFill>
          </w14:textFill>
        </w:rPr>
        <w:t>工程</w:t>
      </w:r>
      <w:r>
        <w:rPr>
          <w:rFonts w:hint="eastAsia" w:ascii="宋体" w:hAnsi="宋体" w:cs="宋体"/>
          <w:i/>
          <w:iCs/>
          <w:color w:val="000000" w:themeColor="text1"/>
          <w:szCs w:val="21"/>
          <w:u w:val="single"/>
          <w14:textFill>
            <w14:solidFill>
              <w14:schemeClr w14:val="tx1"/>
            </w14:solidFill>
          </w14:textFill>
        </w:rPr>
        <w:t>施工总承包叁级及以上资质证书和</w:t>
      </w:r>
      <w:r>
        <w:rPr>
          <w:rFonts w:hint="eastAsia" w:ascii="宋体" w:hAnsi="宋体" w:cs="宋体"/>
          <w:i/>
          <w:iCs/>
          <w:color w:val="000000" w:themeColor="text1"/>
          <w:szCs w:val="21"/>
          <w:u w:val="single"/>
          <w:lang w:val="en"/>
          <w14:textFill>
            <w14:solidFill>
              <w14:schemeClr w14:val="tx1"/>
            </w14:solidFill>
          </w14:textFill>
        </w:rPr>
        <w:t>省级及以上建设行政主管部门核发的《安全生产许可证》</w:t>
      </w:r>
      <w:r>
        <w:rPr>
          <w:rFonts w:hint="eastAsia" w:ascii="宋体" w:hAnsi="宋体" w:cs="宋体"/>
          <w:i/>
          <w:iCs/>
          <w:color w:val="000000" w:themeColor="text1"/>
          <w:szCs w:val="21"/>
          <w:u w:val="single"/>
          <w:lang w:val="en" w:eastAsia="zh-CN"/>
          <w14:textFill>
            <w14:solidFill>
              <w14:schemeClr w14:val="tx1"/>
            </w14:solidFill>
          </w14:textFill>
        </w:rPr>
        <w:t>，</w:t>
      </w:r>
      <w:r>
        <w:rPr>
          <w:rFonts w:hint="eastAsia" w:ascii="宋体" w:hAnsi="宋体" w:cs="宋体"/>
          <w:i/>
          <w:iCs/>
          <w:color w:val="000000" w:themeColor="text1"/>
          <w:szCs w:val="21"/>
          <w:u w:val="single"/>
          <w:lang w:val="en-US" w:eastAsia="zh-CN"/>
          <w14:textFill>
            <w14:solidFill>
              <w14:schemeClr w14:val="tx1"/>
            </w14:solidFill>
          </w14:textFill>
        </w:rPr>
        <w:t>且在磋商当日企业资质动态核查不处于不合格状态</w:t>
      </w:r>
      <w:r>
        <w:rPr>
          <w:rFonts w:hint="eastAsia" w:ascii="宋体" w:hAnsi="宋体" w:cs="宋体"/>
          <w:i/>
          <w:iCs/>
          <w:color w:val="000000" w:themeColor="text1"/>
          <w:szCs w:val="21"/>
          <w:u w:val="single"/>
          <w14:textFill>
            <w14:solidFill>
              <w14:schemeClr w14:val="tx1"/>
            </w14:solidFill>
          </w14:textFill>
        </w:rPr>
        <w:t>；</w:t>
      </w:r>
    </w:p>
    <w:p w14:paraId="0853D537">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3.2</w:t>
      </w:r>
      <w:r>
        <w:rPr>
          <w:rFonts w:hint="eastAsia" w:ascii="宋体" w:hAnsi="宋体" w:cs="宋体"/>
          <w:i/>
          <w:iCs/>
          <w:color w:val="000000" w:themeColor="text1"/>
          <w:szCs w:val="21"/>
          <w:u w:val="single"/>
          <w:lang w:val="en"/>
          <w14:textFill>
            <w14:solidFill>
              <w14:schemeClr w14:val="tx1"/>
            </w14:solidFill>
          </w14:textFill>
        </w:rPr>
        <w:t>拟投入本项目的项目负责人</w:t>
      </w:r>
      <w:r>
        <w:rPr>
          <w:rFonts w:hint="eastAsia" w:ascii="宋体" w:hAnsi="宋体" w:cs="宋体"/>
          <w:i/>
          <w:iCs/>
          <w:color w:val="000000" w:themeColor="text1"/>
          <w:szCs w:val="21"/>
          <w:u w:val="single"/>
          <w14:textFill>
            <w14:solidFill>
              <w14:schemeClr w14:val="tx1"/>
            </w14:solidFill>
          </w14:textFill>
        </w:rPr>
        <w:t>须</w:t>
      </w:r>
      <w:r>
        <w:rPr>
          <w:rFonts w:hint="eastAsia" w:ascii="宋体" w:hAnsi="宋体" w:cs="宋体"/>
          <w:i/>
          <w:iCs/>
          <w:color w:val="000000" w:themeColor="text1"/>
          <w:szCs w:val="21"/>
          <w:u w:val="single"/>
          <w:lang w:val="en"/>
          <w14:textFill>
            <w14:solidFill>
              <w14:schemeClr w14:val="tx1"/>
            </w14:solidFill>
          </w14:textFill>
        </w:rPr>
        <w:t>具备</w:t>
      </w:r>
      <w:r>
        <w:rPr>
          <w:rFonts w:hint="eastAsia" w:ascii="宋体" w:hAnsi="宋体" w:cs="宋体"/>
          <w:i/>
          <w:iCs/>
          <w:color w:val="000000" w:themeColor="text1"/>
          <w:szCs w:val="21"/>
          <w:u w:val="single"/>
          <w14:textFill>
            <w14:solidFill>
              <w14:schemeClr w14:val="tx1"/>
            </w14:solidFill>
          </w14:textFill>
        </w:rPr>
        <w:t>建筑</w:t>
      </w:r>
      <w:r>
        <w:rPr>
          <w:rFonts w:hint="eastAsia" w:ascii="宋体" w:hAnsi="宋体" w:cs="宋体"/>
          <w:i/>
          <w:iCs/>
          <w:color w:val="000000" w:themeColor="text1"/>
          <w:szCs w:val="21"/>
          <w:u w:val="single"/>
          <w:lang w:val="en"/>
          <w14:textFill>
            <w14:solidFill>
              <w14:schemeClr w14:val="tx1"/>
            </w14:solidFill>
          </w14:textFill>
        </w:rPr>
        <w:t>工程二级（含）以上注册建造师执业资格</w:t>
      </w:r>
      <w:r>
        <w:rPr>
          <w:rFonts w:hint="eastAsia" w:ascii="宋体" w:hAnsi="宋体" w:cs="宋体"/>
          <w:i/>
          <w:iCs/>
          <w:color w:val="000000" w:themeColor="text1"/>
          <w:szCs w:val="21"/>
          <w:u w:val="single"/>
          <w14:textFill>
            <w14:solidFill>
              <w14:schemeClr w14:val="tx1"/>
            </w14:solidFill>
          </w14:textFill>
        </w:rPr>
        <w:t>和</w:t>
      </w:r>
      <w:r>
        <w:rPr>
          <w:rFonts w:hint="eastAsia" w:ascii="宋体" w:hAnsi="宋体" w:cs="宋体"/>
          <w:i/>
          <w:iCs/>
          <w:color w:val="000000" w:themeColor="text1"/>
          <w:szCs w:val="21"/>
          <w:u w:val="single"/>
          <w:lang w:val="en"/>
          <w14:textFill>
            <w14:solidFill>
              <w14:schemeClr w14:val="tx1"/>
            </w14:solidFill>
          </w14:textFill>
        </w:rPr>
        <w:t>有效的安全生产考核合格证书（</w:t>
      </w:r>
      <w:r>
        <w:rPr>
          <w:rFonts w:hint="eastAsia" w:ascii="宋体" w:hAnsi="宋体" w:cs="宋体"/>
          <w:i/>
          <w:iCs/>
          <w:color w:val="000000" w:themeColor="text1"/>
          <w:szCs w:val="21"/>
          <w:u w:val="single"/>
          <w14:textFill>
            <w14:solidFill>
              <w14:schemeClr w14:val="tx1"/>
            </w14:solidFill>
          </w14:textFill>
        </w:rPr>
        <w:t>B证</w:t>
      </w:r>
      <w:r>
        <w:rPr>
          <w:rFonts w:hint="eastAsia" w:ascii="宋体" w:hAnsi="宋体" w:cs="宋体"/>
          <w:i/>
          <w:iCs/>
          <w:color w:val="000000" w:themeColor="text1"/>
          <w:szCs w:val="21"/>
          <w:u w:val="single"/>
          <w:lang w:val="en"/>
          <w14:textFill>
            <w14:solidFill>
              <w14:schemeClr w14:val="tx1"/>
            </w14:solidFill>
          </w14:textFill>
        </w:rPr>
        <w:t>），</w:t>
      </w:r>
      <w:r>
        <w:rPr>
          <w:rFonts w:hint="eastAsia" w:ascii="宋体" w:hAnsi="宋体" w:cs="宋体"/>
          <w:i/>
          <w:iCs/>
          <w:color w:val="000000" w:themeColor="text1"/>
          <w:szCs w:val="21"/>
          <w:u w:val="single"/>
          <w14:textFill>
            <w14:solidFill>
              <w14:schemeClr w14:val="tx1"/>
            </w14:solidFill>
          </w14:textFill>
        </w:rPr>
        <w:t>并提供近三个月内任意一个月社保缴纳证明材料，</w:t>
      </w:r>
      <w:r>
        <w:rPr>
          <w:rFonts w:hint="eastAsia" w:ascii="宋体" w:hAnsi="宋体" w:cs="宋体"/>
          <w:i/>
          <w:iCs/>
          <w:color w:val="000000" w:themeColor="text1"/>
          <w:szCs w:val="21"/>
          <w:u w:val="single"/>
          <w:lang w:val="en"/>
          <w14:textFill>
            <w14:solidFill>
              <w14:schemeClr w14:val="tx1"/>
            </w14:solidFill>
          </w14:textFill>
        </w:rPr>
        <w:t>且无在</w:t>
      </w:r>
      <w:r>
        <w:rPr>
          <w:rFonts w:hint="eastAsia" w:ascii="宋体" w:hAnsi="宋体" w:cs="宋体"/>
          <w:i/>
          <w:iCs/>
          <w:color w:val="000000" w:themeColor="text1"/>
          <w:szCs w:val="21"/>
          <w:u w:val="single"/>
          <w14:textFill>
            <w14:solidFill>
              <w14:schemeClr w14:val="tx1"/>
            </w14:solidFill>
          </w14:textFill>
        </w:rPr>
        <w:t>建</w:t>
      </w:r>
      <w:r>
        <w:rPr>
          <w:rFonts w:hint="eastAsia" w:ascii="宋体" w:hAnsi="宋体" w:cs="宋体"/>
          <w:i/>
          <w:iCs/>
          <w:color w:val="000000" w:themeColor="text1"/>
          <w:szCs w:val="21"/>
          <w:u w:val="single"/>
          <w:lang w:val="en"/>
          <w14:textFill>
            <w14:solidFill>
              <w14:schemeClr w14:val="tx1"/>
            </w14:solidFill>
          </w14:textFill>
        </w:rPr>
        <w:t>工程（</w:t>
      </w:r>
      <w:r>
        <w:rPr>
          <w:rFonts w:hint="eastAsia" w:ascii="宋体" w:hAnsi="宋体" w:cs="宋体"/>
          <w:i/>
          <w:iCs/>
          <w:color w:val="000000" w:themeColor="text1"/>
          <w:szCs w:val="21"/>
          <w:u w:val="single"/>
          <w14:textFill>
            <w14:solidFill>
              <w14:schemeClr w14:val="tx1"/>
            </w14:solidFill>
          </w14:textFill>
        </w:rPr>
        <w:t>提供无在建工程承诺书</w:t>
      </w:r>
      <w:r>
        <w:rPr>
          <w:rFonts w:hint="eastAsia" w:ascii="宋体" w:hAnsi="宋体" w:cs="宋体"/>
          <w:i/>
          <w:iCs/>
          <w:color w:val="000000" w:themeColor="text1"/>
          <w:szCs w:val="21"/>
          <w:u w:val="single"/>
          <w:lang w:val="en"/>
          <w14:textFill>
            <w14:solidFill>
              <w14:schemeClr w14:val="tx1"/>
            </w14:solidFill>
          </w14:textFill>
        </w:rPr>
        <w:t>）</w:t>
      </w:r>
      <w:r>
        <w:rPr>
          <w:rFonts w:hint="eastAsia" w:ascii="宋体" w:hAnsi="宋体" w:cs="宋体"/>
          <w:i/>
          <w:iCs/>
          <w:color w:val="000000" w:themeColor="text1"/>
          <w:szCs w:val="21"/>
          <w:u w:val="single"/>
          <w14:textFill>
            <w14:solidFill>
              <w14:schemeClr w14:val="tx1"/>
            </w14:solidFill>
          </w14:textFill>
        </w:rPr>
        <w:t>；</w:t>
      </w:r>
    </w:p>
    <w:p w14:paraId="291589BC">
      <w:pPr>
        <w:pStyle w:val="4"/>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三、获取采购文件</w:t>
      </w:r>
      <w:bookmarkEnd w:id="5"/>
    </w:p>
    <w:p w14:paraId="75B7A277">
      <w:pPr>
        <w:spacing w:line="360" w:lineRule="auto"/>
        <w:ind w:firstLine="420" w:firstLineChars="200"/>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1.时间：</w:t>
      </w:r>
      <w:r>
        <w:rPr>
          <w:rFonts w:hint="eastAsia" w:ascii="宋体" w:hAnsi="宋体" w:cs="宋体"/>
          <w:color w:val="000000" w:themeColor="text1"/>
          <w14:textFill>
            <w14:solidFill>
              <w14:schemeClr w14:val="tx1"/>
            </w14:solidFill>
          </w14:textFill>
        </w:rPr>
        <w:t>自磋商公告发布之日起5个工作日。5个工作日后仍可下载采购文件，但不作为供应商权益受到损害的证明材料和依据。</w:t>
      </w:r>
    </w:p>
    <w:p w14:paraId="1A8F4F73">
      <w:pPr>
        <w:spacing w:line="360" w:lineRule="auto"/>
        <w:ind w:firstLine="420" w:firstLineChars="200"/>
        <w:rPr>
          <w:rFonts w:ascii="宋体" w:hAnsi="宋体" w:cs="宋体"/>
          <w:color w:val="000000" w:themeColor="text1"/>
          <w:szCs w:val="21"/>
          <w14:textFill>
            <w14:solidFill>
              <w14:schemeClr w14:val="tx1"/>
            </w14:solidFill>
          </w14:textFill>
        </w:rPr>
      </w:pPr>
      <w:bookmarkStart w:id="8" w:name="_Toc109304966"/>
      <w:r>
        <w:rPr>
          <w:rFonts w:hint="eastAsia" w:ascii="宋体" w:hAnsi="宋体" w:cs="宋体"/>
          <w:color w:val="000000" w:themeColor="text1"/>
          <w:szCs w:val="21"/>
          <w14:textFill>
            <w14:solidFill>
              <w14:schemeClr w14:val="tx1"/>
            </w14:solidFill>
          </w14:textFill>
        </w:rPr>
        <w:t>2.地点：“苏采云”系统（网址：http://jszfcg.jsczt.cn/）  </w:t>
      </w:r>
    </w:p>
    <w:p w14:paraId="426C523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3.方式：自行免费下载 </w:t>
      </w:r>
    </w:p>
    <w:p w14:paraId="3F8251F6">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4.售价：0.00元 </w:t>
      </w:r>
    </w:p>
    <w:p w14:paraId="476E94D3">
      <w:pPr>
        <w:pStyle w:val="4"/>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四、响应文件提交</w:t>
      </w:r>
      <w:bookmarkEnd w:id="8"/>
    </w:p>
    <w:p w14:paraId="55E0C804">
      <w:pPr>
        <w:spacing w:line="360" w:lineRule="auto"/>
        <w:ind w:firstLine="420" w:firstLineChars="200"/>
        <w:rPr>
          <w:rFonts w:ascii="宋体" w:hAnsi="宋体" w:cs="宋体"/>
          <w:bCs/>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1.截止时间：</w:t>
      </w:r>
      <w:bookmarkStart w:id="9" w:name="XMTBJSR_2"/>
      <w:r>
        <w:rPr>
          <w:rFonts w:hint="eastAsia" w:ascii="宋体" w:hAnsi="宋体" w:cs="宋体"/>
          <w:bCs/>
          <w:color w:val="000000" w:themeColor="text1"/>
          <w:szCs w:val="21"/>
          <w:u w:val="single"/>
          <w:lang w:eastAsia="zh-CN"/>
          <w14:textFill>
            <w14:solidFill>
              <w14:schemeClr w14:val="tx1"/>
            </w14:solidFill>
          </w14:textFill>
        </w:rPr>
        <w:t>2026年04月16日</w:t>
      </w:r>
      <w:r>
        <w:rPr>
          <w:rFonts w:hint="eastAsia" w:ascii="宋体" w:hAnsi="宋体" w:cs="宋体"/>
          <w:bCs/>
          <w:color w:val="000000" w:themeColor="text1"/>
          <w:szCs w:val="21"/>
          <w:u w:val="single"/>
          <w14:textFill>
            <w14:solidFill>
              <w14:schemeClr w14:val="tx1"/>
            </w14:solidFill>
          </w14:textFill>
        </w:rPr>
        <w:t xml:space="preserve">   09</w:t>
      </w:r>
      <w:r>
        <w:rPr>
          <w:rFonts w:hint="eastAsia" w:ascii="宋体" w:hAnsi="宋体" w:cs="宋体"/>
          <w:bCs/>
          <w:color w:val="000000" w:themeColor="text1"/>
          <w:szCs w:val="21"/>
          <w:u w:val="single"/>
          <w:lang w:val="en-US" w:eastAsia="zh-CN"/>
          <w14:textFill>
            <w14:solidFill>
              <w14:schemeClr w14:val="tx1"/>
            </w14:solidFill>
          </w14:textFill>
        </w:rPr>
        <w:t>时</w:t>
      </w:r>
      <w:r>
        <w:rPr>
          <w:rFonts w:hint="eastAsia" w:ascii="宋体" w:hAnsi="宋体" w:cs="宋体"/>
          <w:bCs/>
          <w:color w:val="000000" w:themeColor="text1"/>
          <w:szCs w:val="21"/>
          <w:u w:val="single"/>
          <w14:textFill>
            <w14:solidFill>
              <w14:schemeClr w14:val="tx1"/>
            </w14:solidFill>
          </w14:textFill>
        </w:rPr>
        <w:t>00分</w:t>
      </w:r>
      <w:bookmarkEnd w:id="9"/>
      <w:r>
        <w:rPr>
          <w:rFonts w:hint="eastAsia" w:ascii="宋体" w:hAnsi="宋体" w:cs="宋体"/>
          <w:bCs/>
          <w:color w:val="000000" w:themeColor="text1"/>
          <w:szCs w:val="21"/>
          <w14:textFill>
            <w14:solidFill>
              <w14:schemeClr w14:val="tx1"/>
            </w14:solidFill>
          </w14:textFill>
        </w:rPr>
        <w:t>（北京时间）</w:t>
      </w:r>
    </w:p>
    <w:p w14:paraId="12452226">
      <w:pPr>
        <w:spacing w:line="360" w:lineRule="auto"/>
        <w:ind w:firstLine="422" w:firstLineChars="200"/>
        <w:rPr>
          <w:rFonts w:ascii="宋体" w:hAnsi="宋体" w:cs="宋体"/>
          <w:bCs/>
          <w:color w:val="000000" w:themeColor="text1"/>
          <w:szCs w:val="21"/>
          <w:u w:val="single"/>
          <w14:textFill>
            <w14:solidFill>
              <w14:schemeClr w14:val="tx1"/>
            </w14:solidFill>
          </w14:textFill>
        </w:rPr>
      </w:pPr>
      <w:bookmarkStart w:id="10" w:name="_Toc109304967"/>
      <w:r>
        <w:rPr>
          <w:rFonts w:hint="eastAsia" w:ascii="宋体" w:hAnsi="宋体" w:cs="宋体"/>
          <w:b/>
          <w:bCs/>
          <w:color w:val="000000" w:themeColor="text1"/>
          <w:szCs w:val="21"/>
          <w14:textFill>
            <w14:solidFill>
              <w14:schemeClr w14:val="tx1"/>
            </w14:solidFill>
          </w14:textFill>
        </w:rPr>
        <w:t>2.投标地点：“苏采云”系统（网址： http://jszfcg.jsczt.cn/）“报名详情”</w:t>
      </w:r>
    </w:p>
    <w:p w14:paraId="210D18A2">
      <w:pPr>
        <w:pStyle w:val="4"/>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五、开启</w:t>
      </w:r>
      <w:bookmarkEnd w:id="10"/>
    </w:p>
    <w:p w14:paraId="3D5E771E">
      <w:pPr>
        <w:pStyle w:val="5"/>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1.时间</w:t>
      </w:r>
      <w:bookmarkStart w:id="11" w:name="XMTBJSR_3"/>
      <w:r>
        <w:rPr>
          <w:rFonts w:hint="eastAsia" w:ascii="宋体" w:hAnsi="宋体" w:cs="宋体"/>
          <w:color w:val="000000" w:themeColor="text1"/>
          <w:szCs w:val="21"/>
          <w14:textFill>
            <w14:solidFill>
              <w14:schemeClr w14:val="tx1"/>
            </w14:solidFill>
          </w14:textFill>
        </w:rPr>
        <w:t>：</w:t>
      </w:r>
      <w:r>
        <w:rPr>
          <w:rFonts w:hint="eastAsia" w:ascii="宋体" w:hAnsi="宋体" w:cs="宋体"/>
          <w:bCs/>
          <w:color w:val="000000" w:themeColor="text1"/>
          <w:szCs w:val="21"/>
          <w:u w:val="single"/>
          <w:lang w:eastAsia="zh-CN"/>
          <w14:textFill>
            <w14:solidFill>
              <w14:schemeClr w14:val="tx1"/>
            </w14:solidFill>
          </w14:textFill>
        </w:rPr>
        <w:t>2026年04月16日</w:t>
      </w:r>
      <w:r>
        <w:rPr>
          <w:rFonts w:hint="eastAsia" w:ascii="宋体" w:hAnsi="宋体" w:cs="宋体"/>
          <w:bCs/>
          <w:color w:val="000000" w:themeColor="text1"/>
          <w:szCs w:val="21"/>
          <w:u w:val="single"/>
          <w14:textFill>
            <w14:solidFill>
              <w14:schemeClr w14:val="tx1"/>
            </w14:solidFill>
          </w14:textFill>
        </w:rPr>
        <w:t xml:space="preserve">   09</w:t>
      </w:r>
      <w:r>
        <w:rPr>
          <w:rFonts w:hint="eastAsia" w:ascii="宋体" w:hAnsi="宋体" w:cs="宋体"/>
          <w:bCs/>
          <w:color w:val="000000" w:themeColor="text1"/>
          <w:szCs w:val="21"/>
          <w:u w:val="single"/>
          <w:lang w:val="en-US" w:eastAsia="zh-CN"/>
          <w14:textFill>
            <w14:solidFill>
              <w14:schemeClr w14:val="tx1"/>
            </w14:solidFill>
          </w14:textFill>
        </w:rPr>
        <w:t>时</w:t>
      </w:r>
      <w:r>
        <w:rPr>
          <w:rFonts w:hint="eastAsia" w:ascii="宋体" w:hAnsi="宋体" w:cs="宋体"/>
          <w:bCs/>
          <w:color w:val="000000" w:themeColor="text1"/>
          <w:szCs w:val="21"/>
          <w:u w:val="single"/>
          <w14:textFill>
            <w14:solidFill>
              <w14:schemeClr w14:val="tx1"/>
            </w14:solidFill>
          </w14:textFill>
        </w:rPr>
        <w:t>00分</w:t>
      </w:r>
      <w:bookmarkEnd w:id="11"/>
      <w:r>
        <w:rPr>
          <w:rFonts w:hint="eastAsia" w:ascii="宋体" w:hAnsi="宋体" w:cs="宋体"/>
          <w:bCs/>
          <w:color w:val="000000" w:themeColor="text1"/>
          <w:szCs w:val="21"/>
          <w14:textFill>
            <w14:solidFill>
              <w14:schemeClr w14:val="tx1"/>
            </w14:solidFill>
          </w14:textFill>
        </w:rPr>
        <w:t>（北京时间）</w:t>
      </w:r>
    </w:p>
    <w:p w14:paraId="40AE0470">
      <w:pPr>
        <w:spacing w:line="360" w:lineRule="auto"/>
        <w:ind w:firstLine="422" w:firstLineChars="200"/>
        <w:rPr>
          <w:rFonts w:ascii="宋体" w:hAnsi="宋体" w:cs="宋体"/>
          <w:b/>
          <w:color w:val="000000" w:themeColor="text1"/>
          <w:szCs w:val="21"/>
          <w14:textFill>
            <w14:solidFill>
              <w14:schemeClr w14:val="tx1"/>
            </w14:solidFill>
          </w14:textFill>
        </w:rPr>
      </w:pPr>
      <w:bookmarkStart w:id="12" w:name="_Toc109304968"/>
      <w:r>
        <w:rPr>
          <w:rFonts w:hint="eastAsia" w:ascii="宋体" w:hAnsi="宋体" w:cs="宋体"/>
          <w:b/>
          <w:color w:val="000000" w:themeColor="text1"/>
          <w:szCs w:val="21"/>
          <w14:textFill>
            <w14:solidFill>
              <w14:schemeClr w14:val="tx1"/>
            </w14:solidFill>
          </w14:textFill>
        </w:rPr>
        <w:t>2.开标地点：“苏采云”系统（网址： http://jszfcg.jsczt.cn/）“开标大厅”</w:t>
      </w:r>
    </w:p>
    <w:p w14:paraId="7B6BDD3E">
      <w:pPr>
        <w:pStyle w:val="4"/>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六、公告期限</w:t>
      </w:r>
      <w:bookmarkEnd w:id="12"/>
    </w:p>
    <w:p w14:paraId="413B1056">
      <w:pPr>
        <w:spacing w:line="360" w:lineRule="auto"/>
        <w:ind w:firstLine="420" w:firstLineChars="200"/>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自本公告发布之日起5个工作日。</w:t>
      </w:r>
      <w:bookmarkStart w:id="13" w:name="_Toc109304969"/>
    </w:p>
    <w:p w14:paraId="3232144D">
      <w:p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七、其他补充事宜</w:t>
      </w:r>
      <w:bookmarkEnd w:id="13"/>
    </w:p>
    <w:p w14:paraId="60E8AF3E">
      <w:pPr>
        <w:widowControl/>
        <w:spacing w:line="360" w:lineRule="auto"/>
        <w:ind w:firstLine="420" w:firstLineChars="200"/>
        <w:jc w:val="left"/>
        <w:rPr>
          <w:rFonts w:ascii="宋体" w:hAnsi="宋体" w:cs="宋体"/>
          <w:color w:val="000000" w:themeColor="text1"/>
          <w14:textFill>
            <w14:solidFill>
              <w14:schemeClr w14:val="tx1"/>
            </w14:solidFill>
          </w14:textFill>
        </w:rPr>
      </w:pPr>
      <w:bookmarkStart w:id="14" w:name="_Toc109304970"/>
      <w:r>
        <w:rPr>
          <w:rFonts w:hint="eastAsia" w:ascii="宋体" w:hAnsi="宋体" w:cs="宋体"/>
          <w:color w:val="000000" w:themeColor="text1"/>
          <w14:textFill>
            <w14:solidFill>
              <w14:schemeClr w14:val="tx1"/>
            </w14:solidFill>
          </w14:textFill>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18E89304">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2.供应商如确定参加</w:t>
      </w:r>
      <w:r>
        <w:rPr>
          <w:rFonts w:hint="eastAsia" w:ascii="宋体" w:hAnsi="宋体" w:cs="宋体"/>
          <w:color w:val="000000" w:themeColor="text1"/>
          <w:lang w:val="en-US" w:eastAsia="zh-CN"/>
          <w14:textFill>
            <w14:solidFill>
              <w14:schemeClr w14:val="tx1"/>
            </w14:solidFill>
          </w14:textFill>
        </w:rPr>
        <w:t>磋商</w:t>
      </w:r>
      <w:r>
        <w:rPr>
          <w:rFonts w:hint="eastAsia" w:ascii="宋体" w:hAnsi="宋体" w:cs="宋体"/>
          <w:color w:val="000000" w:themeColor="text1"/>
          <w14:textFill>
            <w14:solidFill>
              <w14:schemeClr w14:val="tx1"/>
            </w14:solidFill>
          </w14:textFill>
        </w:rPr>
        <w:t>，可自行下载采购文件及有关资料，按照《操作手册》进行注册，领取CA和办理电子签章，并按《操作手册》要求制作、上传电子响应文件，技术支持联系方式：:13813140731。</w:t>
      </w:r>
    </w:p>
    <w:p w14:paraId="386ADA22">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竞争性磋商、竞争性谈判、单一来源采购项目将与供应商就谈判（磋商）文件进行线上谈判（磋商），请供应商在开标前登录谷歌浏览器进入不见面大厅，并准备好耳麦和摄像设备。因供应商网络与电源不稳定、未按要求配置上述设备、上述设备发生故障等自身原因，导致谈判（磋商）失败，供应商自行承担其后果。</w:t>
      </w:r>
    </w:p>
    <w:p w14:paraId="26FCBB99">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4.潜在供应商对采购文件项目需求部分的询问、质疑请向采购人提出，由采购人负责答复。</w:t>
      </w:r>
    </w:p>
    <w:p w14:paraId="0A4A1287">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5.本次采购不收取投标保证金，本项目收取履约保证金。</w:t>
      </w:r>
    </w:p>
    <w:p w14:paraId="07D9038A">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6.有关本次采购的事项若存在变动或修改，敬请及时关注“扬州市政府采购网”、“江苏省政府采购网”发布的信息。</w:t>
      </w:r>
    </w:p>
    <w:p w14:paraId="42D1DB9C">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7.落实好政府采购履约资金扶持政策。中标/成交供应商可凭政府采购合同办理融资贷款，详见江苏政府采购网“政采贷”专栏。</w:t>
      </w:r>
    </w:p>
    <w:p w14:paraId="220E902A">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1EE09FA">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20CD8624">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10.潜在供应商访问政府采购管理交易系统（苏采云）的网络地址和方法：</w:t>
      </w:r>
    </w:p>
    <w:p w14:paraId="464A1EFB">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p>
    <w:p w14:paraId="38B5EA19">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（2）“CA数字证书”的获取：供应商需办理CA锁，“苏采云”系统目前仅支持“苏采云”系统下的政务CA，省内各地区办理的“苏采云”系统下的政务CA全省通用。</w:t>
      </w:r>
    </w:p>
    <w:p w14:paraId="5CD11322">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（3）“CA数字证书”的办理材料以及供应商操作手册详见：</w:t>
      </w:r>
    </w:p>
    <w:p w14:paraId="53E79AB1">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http://zfcg.yangzhou.gov.cn/zfcg/xzzx/202309/4d7de1f7865f4a2894fc22bc452f94d8.shtml。</w:t>
      </w:r>
    </w:p>
    <w:p w14:paraId="5D977167">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（4）潜在供应商访问“苏采云”系统的网络地址和方法：“苏采云”系统的网址：http://jszfcg.jsczt.cn/。</w:t>
      </w:r>
    </w:p>
    <w:p w14:paraId="50F5FE80">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（5）采购文件（后缀名为“.kedt”）、供应商操作手册及政府采购客户端工具也可通过“苏采云”系统--已报名项目--报名详情页面内相应链接进行下载。</w:t>
      </w:r>
    </w:p>
    <w:p w14:paraId="51869524">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（6）招标代理机构（采购代理机构）将数据电文形式的采购文件加载至“苏采云”系统，供潜在供应商下载或者查阅。     </w:t>
      </w:r>
    </w:p>
    <w:p w14:paraId="2A721E1F">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（7）苏采云系统使用谷歌浏览器参与不见面开标。</w:t>
      </w:r>
    </w:p>
    <w:p w14:paraId="4CF8DE84">
      <w:pPr>
        <w:widowControl/>
        <w:spacing w:line="360" w:lineRule="auto"/>
        <w:ind w:firstLine="420" w:firstLineChars="200"/>
        <w:jc w:val="left"/>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w:t>
      </w:r>
      <w:r>
        <w:rPr>
          <w:rFonts w:hint="eastAsia" w:ascii="宋体" w:hAnsi="宋体" w:cs="宋体"/>
          <w:b/>
          <w:bCs/>
          <w:color w:val="000000" w:themeColor="text1"/>
          <w14:textFill>
            <w14:solidFill>
              <w14:schemeClr w14:val="tx1"/>
            </w14:solidFill>
          </w14:textFill>
        </w:rPr>
        <w:t>本项目严格按照苏财购[2025]62号文的规定，进行异常低价投标的审查程序。</w:t>
      </w:r>
    </w:p>
    <w:p w14:paraId="1A8ED7BF">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12.拒绝下述供应商参加本次采购活动:</w:t>
      </w:r>
    </w:p>
    <w:p w14:paraId="64DAB977">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①供应商单位负责人为同一人或者存在直接控股、管理关系的不同供应商，不得参加同一合同项下的政府采购活动。</w:t>
      </w:r>
    </w:p>
    <w:p w14:paraId="4F16FFF1">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②凡为采购项目提供整体设计、规范编制或者项目管理、监理、检测等服务的供应商，不得再参加该项目的其他采购活动。</w:t>
      </w:r>
    </w:p>
    <w:p w14:paraId="1AEA884C">
      <w:pPr>
        <w:widowControl/>
        <w:spacing w:line="360" w:lineRule="auto"/>
        <w:ind w:firstLine="420" w:firstLineChars="200"/>
        <w:jc w:val="left"/>
        <w:rPr>
          <w:rFonts w:ascii="宋体" w:hAnsi="宋体" w:cs="宋体"/>
          <w:b/>
          <w:bCs/>
          <w:i/>
          <w:iCs/>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13.</w:t>
      </w:r>
      <w:r>
        <w:rPr>
          <w:rFonts w:hint="eastAsia" w:ascii="宋体" w:hAnsi="宋体" w:cs="宋体"/>
          <w:b/>
          <w:bCs/>
          <w:i/>
          <w:iCs/>
          <w:color w:val="000000" w:themeColor="text1"/>
          <w:u w:val="single"/>
          <w14:textFill>
            <w14:solidFill>
              <w14:schemeClr w14:val="tx1"/>
            </w14:solidFill>
          </w14:textFill>
        </w:rPr>
        <w:t>本项目采购文件中所有斜体下划线部分为实质性条款，如不满足，则为无效响应。</w:t>
      </w:r>
    </w:p>
    <w:p w14:paraId="0B54233F">
      <w:pPr>
        <w:pStyle w:val="4"/>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八、本次竞争性磋商联系方式</w:t>
      </w:r>
      <w:bookmarkEnd w:id="14"/>
    </w:p>
    <w:p w14:paraId="43AC6ABD">
      <w:pPr>
        <w:pStyle w:val="14"/>
        <w:spacing w:line="360" w:lineRule="auto"/>
        <w:ind w:firstLine="420" w:firstLineChars="200"/>
        <w:rPr>
          <w:rFonts w:hAnsi="宋体" w:cs="宋体"/>
          <w:color w:val="000000" w:themeColor="text1"/>
          <w:kern w:val="2"/>
          <w:sz w:val="21"/>
          <w:szCs w:val="22"/>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1.采购人信息</w:t>
      </w:r>
    </w:p>
    <w:bookmarkEnd w:id="0"/>
    <w:p w14:paraId="5172F700">
      <w:pPr>
        <w:pStyle w:val="14"/>
        <w:spacing w:line="360" w:lineRule="auto"/>
        <w:ind w:firstLine="420" w:firstLineChars="200"/>
        <w:rPr>
          <w:rFonts w:hAnsi="宋体" w:cs="宋体"/>
          <w:color w:val="000000" w:themeColor="text1"/>
          <w:kern w:val="2"/>
          <w:sz w:val="21"/>
          <w:szCs w:val="22"/>
          <w14:textFill>
            <w14:solidFill>
              <w14:schemeClr w14:val="tx1"/>
            </w14:solidFill>
          </w14:textFill>
        </w:rPr>
      </w:pPr>
      <w:bookmarkStart w:id="15" w:name="_Toc109304972"/>
      <w:r>
        <w:rPr>
          <w:rFonts w:hint="eastAsia" w:hAnsi="宋体" w:cs="宋体"/>
          <w:color w:val="000000" w:themeColor="text1"/>
          <w:kern w:val="2"/>
          <w:sz w:val="21"/>
          <w:szCs w:val="22"/>
          <w14:textFill>
            <w14:solidFill>
              <w14:schemeClr w14:val="tx1"/>
            </w14:solidFill>
          </w14:textFill>
        </w:rPr>
        <w:t>名称：高邮市菱塘回族乡人民政府</w:t>
      </w:r>
    </w:p>
    <w:p w14:paraId="7387D25B">
      <w:pPr>
        <w:pStyle w:val="14"/>
        <w:spacing w:line="360" w:lineRule="auto"/>
        <w:ind w:firstLine="420" w:firstLineChars="200"/>
        <w:rPr>
          <w:rFonts w:hAnsi="宋体" w:cs="宋体"/>
          <w:color w:val="000000" w:themeColor="text1"/>
          <w:kern w:val="2"/>
          <w:sz w:val="21"/>
          <w:szCs w:val="22"/>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地址：高邮市菱塘回族乡兴菱路126号</w:t>
      </w:r>
    </w:p>
    <w:p w14:paraId="219AE64B">
      <w:pPr>
        <w:pStyle w:val="14"/>
        <w:spacing w:line="360" w:lineRule="auto"/>
        <w:ind w:firstLine="420" w:firstLineChars="200"/>
        <w:rPr>
          <w:rFonts w:hAnsi="宋体" w:cs="宋体"/>
          <w:color w:val="000000" w:themeColor="text1"/>
          <w:kern w:val="2"/>
          <w:sz w:val="21"/>
          <w:szCs w:val="22"/>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联系人：陆海翔</w:t>
      </w:r>
    </w:p>
    <w:p w14:paraId="42292480">
      <w:pPr>
        <w:pStyle w:val="14"/>
        <w:spacing w:line="360" w:lineRule="auto"/>
        <w:ind w:firstLine="420" w:firstLineChars="200"/>
        <w:rPr>
          <w:rFonts w:hint="eastAsia" w:hAnsi="宋体" w:cs="宋体"/>
          <w:color w:val="000000" w:themeColor="text1"/>
          <w:kern w:val="2"/>
          <w:sz w:val="21"/>
          <w:szCs w:val="22"/>
          <w14:textFill>
            <w14:solidFill>
              <w14:schemeClr w14:val="tx1"/>
            </w14:solidFill>
          </w14:textFill>
        </w:rPr>
      </w:pPr>
      <w:bookmarkStart w:id="16" w:name="_Toc28359020"/>
      <w:bookmarkStart w:id="17" w:name="_Toc35393807"/>
      <w:bookmarkStart w:id="18" w:name="_Toc35393638"/>
      <w:bookmarkStart w:id="19" w:name="_Toc28359097"/>
      <w:r>
        <w:rPr>
          <w:rFonts w:hint="eastAsia" w:hAnsi="宋体" w:cs="宋体"/>
          <w:color w:val="000000" w:themeColor="text1"/>
          <w:kern w:val="2"/>
          <w:sz w:val="21"/>
          <w:szCs w:val="22"/>
          <w14:textFill>
            <w14:solidFill>
              <w14:schemeClr w14:val="tx1"/>
            </w14:solidFill>
          </w14:textFill>
        </w:rPr>
        <w:t>联系电话：13813111777</w:t>
      </w:r>
    </w:p>
    <w:p w14:paraId="6FBBAD14">
      <w:pPr>
        <w:pStyle w:val="14"/>
        <w:spacing w:line="360" w:lineRule="auto"/>
        <w:ind w:firstLine="420" w:firstLineChars="200"/>
        <w:rPr>
          <w:rFonts w:hAnsi="宋体" w:cs="宋体"/>
          <w:color w:val="000000" w:themeColor="text1"/>
          <w:kern w:val="2"/>
          <w:sz w:val="21"/>
          <w:szCs w:val="22"/>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2.采购代理机构信息</w:t>
      </w:r>
      <w:bookmarkEnd w:id="16"/>
      <w:bookmarkEnd w:id="17"/>
      <w:bookmarkEnd w:id="18"/>
      <w:bookmarkEnd w:id="19"/>
    </w:p>
    <w:p w14:paraId="55BF9F41">
      <w:pPr>
        <w:pStyle w:val="14"/>
        <w:spacing w:line="360" w:lineRule="auto"/>
        <w:ind w:firstLine="420" w:firstLineChars="200"/>
        <w:rPr>
          <w:rFonts w:hAnsi="宋体" w:cs="宋体"/>
          <w:color w:val="000000" w:themeColor="text1"/>
          <w:kern w:val="2"/>
          <w:sz w:val="21"/>
          <w:szCs w:val="22"/>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名称：扬州市科达工程咨询有限公司</w:t>
      </w:r>
    </w:p>
    <w:p w14:paraId="28D25316">
      <w:pPr>
        <w:pStyle w:val="14"/>
        <w:spacing w:line="360" w:lineRule="auto"/>
        <w:ind w:firstLine="420" w:firstLineChars="200"/>
        <w:rPr>
          <w:rFonts w:hAnsi="宋体" w:cs="宋体"/>
          <w:color w:val="000000" w:themeColor="text1"/>
          <w:kern w:val="2"/>
          <w:sz w:val="21"/>
          <w:szCs w:val="22"/>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地址：</w:t>
      </w:r>
      <w:r>
        <w:rPr>
          <w:rFonts w:hint="eastAsia" w:hAnsi="宋体" w:cs="宋体"/>
          <w:color w:val="000000" w:themeColor="text1"/>
          <w:kern w:val="2"/>
          <w:sz w:val="21"/>
          <w:szCs w:val="22"/>
          <w:lang w:val="en"/>
          <w14:textFill>
            <w14:solidFill>
              <w14:schemeClr w14:val="tx1"/>
            </w14:solidFill>
          </w14:textFill>
        </w:rPr>
        <w:t>高邮市屏淮南路与翰林路交叉口东南角</w:t>
      </w:r>
    </w:p>
    <w:p w14:paraId="162135C1">
      <w:pPr>
        <w:pStyle w:val="14"/>
        <w:spacing w:line="360" w:lineRule="auto"/>
        <w:ind w:firstLine="420" w:firstLineChars="200"/>
        <w:rPr>
          <w:rFonts w:hAnsi="宋体" w:cs="宋体"/>
          <w:color w:val="000000" w:themeColor="text1"/>
          <w:kern w:val="2"/>
          <w:sz w:val="21"/>
          <w:szCs w:val="22"/>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联系人：华工</w:t>
      </w:r>
    </w:p>
    <w:p w14:paraId="29706D2E">
      <w:pPr>
        <w:pStyle w:val="14"/>
        <w:spacing w:line="360" w:lineRule="auto"/>
        <w:ind w:firstLine="420" w:firstLineChars="200"/>
        <w:rPr>
          <w:rFonts w:hAnsi="宋体" w:cs="宋体"/>
          <w:color w:val="000000" w:themeColor="text1"/>
          <w:kern w:val="2"/>
          <w:sz w:val="21"/>
          <w:szCs w:val="22"/>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联系电话：0514-84630965</w:t>
      </w:r>
    </w:p>
    <w:p w14:paraId="595E5287">
      <w:pPr>
        <w:spacing w:line="360" w:lineRule="auto"/>
        <w:rPr>
          <w:rFonts w:ascii="宋体" w:hAnsi="宋体" w:cs="宋体"/>
          <w:color w:val="000000" w:themeColor="text1"/>
          <w14:textFill>
            <w14:solidFill>
              <w14:schemeClr w14:val="tx1"/>
            </w14:solidFill>
          </w14:textFill>
        </w:rPr>
      </w:pPr>
    </w:p>
    <w:p w14:paraId="3ED89A91">
      <w:pPr>
        <w:spacing w:line="360" w:lineRule="auto"/>
        <w:rPr>
          <w:rFonts w:ascii="宋体" w:hAnsi="宋体" w:cs="宋体"/>
          <w:color w:val="000000" w:themeColor="text1"/>
          <w14:textFill>
            <w14:solidFill>
              <w14:schemeClr w14:val="tx1"/>
            </w14:solidFill>
          </w14:textFill>
        </w:rPr>
      </w:pPr>
    </w:p>
    <w:p w14:paraId="2F4A0FD5">
      <w:pPr>
        <w:spacing w:line="360" w:lineRule="auto"/>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br w:type="page"/>
      </w:r>
    </w:p>
    <w:p w14:paraId="721B2486">
      <w:pPr>
        <w:pStyle w:val="3"/>
        <w:spacing w:line="360" w:lineRule="auto"/>
        <w:jc w:val="cente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第二章 磋商须知</w:t>
      </w:r>
      <w:bookmarkEnd w:id="15"/>
    </w:p>
    <w:p w14:paraId="5A59BE6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1、采购方式</w:t>
      </w:r>
    </w:p>
    <w:p w14:paraId="33E2B0E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 本次采购采取竞争性磋商方式，本采购文件仅适用于本公告中所述项目。</w:t>
      </w:r>
    </w:p>
    <w:p w14:paraId="18D3BF4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2、供应商</w:t>
      </w:r>
    </w:p>
    <w:p w14:paraId="24D1C778">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2.1 参加竞争性磋商的供应商以下简称“供应商”，是指参加磋商并符合采购文件规定资格条件的法人、其他组织或者自然人。</w:t>
      </w:r>
    </w:p>
    <w:p w14:paraId="5CB4C49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2.2合格的供应商</w:t>
      </w:r>
    </w:p>
    <w:p w14:paraId="766B41A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2.2.1 满足采购公告中供应商的资格条件要求的规定。</w:t>
      </w:r>
    </w:p>
    <w:p w14:paraId="18C8408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2.2.2 满足本文件实质性条款的规定。</w:t>
      </w:r>
    </w:p>
    <w:p w14:paraId="20C53D6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3、适用法律</w:t>
      </w:r>
    </w:p>
    <w:p w14:paraId="02F4D4A5">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3.1 本次采购及由此产生的合同受中华人民共和国有关的法律法规制约和保护。</w:t>
      </w:r>
    </w:p>
    <w:p w14:paraId="710B1263">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4、参加磋商费用</w:t>
      </w:r>
    </w:p>
    <w:p w14:paraId="41538BB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4.1 供应商应自行承担所有与参加磋商有关的费用，无论磋商过程中的做法和结果如何，扬州市科达工程咨询有限公司(以下简称代理机构)在任何情况下均无义务和责任承担这些费用。</w:t>
      </w:r>
    </w:p>
    <w:p w14:paraId="202F87B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4.2</w:t>
      </w:r>
      <w:bookmarkStart w:id="20" w:name="_Hlk115095815"/>
      <w:r>
        <w:rPr>
          <w:rFonts w:hint="eastAsia" w:ascii="宋体" w:hAnsi="宋体" w:cs="宋体"/>
          <w:color w:val="000000" w:themeColor="text1"/>
          <w14:textFill>
            <w14:solidFill>
              <w14:schemeClr w14:val="tx1"/>
            </w14:solidFill>
          </w14:textFill>
        </w:rPr>
        <w:t>本次采购代理服务费由成交单位在领取成交通知书前，按照国家计委印发的《招标代理服务收费管理暂行办法》(计价格【2002】1980号文)标准一次性支付给招标代理机构。</w:t>
      </w:r>
    </w:p>
    <w:p w14:paraId="376CCC4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（1）代理服务费以人民币支付；</w:t>
      </w:r>
    </w:p>
    <w:p w14:paraId="52F6E87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（2）代理服务费一次性以电汇、转账等非现金形式支付；</w:t>
      </w:r>
    </w:p>
    <w:p w14:paraId="7378B8D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（3）招标代理服务费不在谈判报价中单列，包含在磋商总价中，由成交单位支付给代理机构。</w:t>
      </w:r>
    </w:p>
    <w:p w14:paraId="3899D5D7">
      <w:pPr>
        <w:spacing w:line="380" w:lineRule="exact"/>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4.3专家评审费按扬财购【2020】40号文《关于进一步规范扬州市政府采购专家评审费标准的通知》执行。 </w:t>
      </w:r>
    </w:p>
    <w:bookmarkEnd w:id="20"/>
    <w:p w14:paraId="2055251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5、采购文件的约束力</w:t>
      </w:r>
    </w:p>
    <w:p w14:paraId="353B4C8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5.1 供应商一旦参加本项目采购活动，即被认为接受了本采购文件的规定和约束。</w:t>
      </w:r>
    </w:p>
    <w:p w14:paraId="17E6B54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6、采购文件构成</w:t>
      </w:r>
    </w:p>
    <w:p w14:paraId="7CE3542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6.1 采购文件有以下部分组成：</w:t>
      </w:r>
    </w:p>
    <w:p w14:paraId="7F45DA5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（1）采购公告</w:t>
      </w:r>
    </w:p>
    <w:p w14:paraId="1E8CAFD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（2）磋商须知</w:t>
      </w:r>
      <w:r>
        <w:rPr>
          <w:rFonts w:hint="eastAsia" w:ascii="宋体" w:hAnsi="宋体" w:cs="宋体"/>
          <w:color w:val="000000" w:themeColor="text1"/>
          <w14:textFill>
            <w14:solidFill>
              <w14:schemeClr w14:val="tx1"/>
            </w14:solidFill>
          </w14:textFill>
        </w:rPr>
        <w:tab/>
      </w:r>
    </w:p>
    <w:p w14:paraId="3660D05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（3）合同条款及格式</w:t>
      </w:r>
    </w:p>
    <w:p w14:paraId="1E8FB92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（4）项目需求</w:t>
      </w:r>
    </w:p>
    <w:p w14:paraId="5673063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（5）评审方法与评审标准</w:t>
      </w:r>
    </w:p>
    <w:p w14:paraId="5428DDE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（6）竞争性磋商响应文件格式</w:t>
      </w:r>
    </w:p>
    <w:p w14:paraId="15DD793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请仔细检查采购文件是否齐全，如有缺漏请立即与代理机构联系解决。</w:t>
      </w:r>
    </w:p>
    <w:p w14:paraId="67CBA34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6.2 采购的最小单位是包。采购服务数量及技术要求中未分包的，供应商对要求提供的服务不得部分响应；采购服务数量及技术要求中已经分包的，应当以包为单位响应。</w:t>
      </w:r>
    </w:p>
    <w:p w14:paraId="30E3ED2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6.3 采购文件如果要求供应商提交备选响应方案的，供应商可以提交备选方案；否则，备选方案将被拒绝。</w:t>
      </w:r>
    </w:p>
    <w:p w14:paraId="2C9A7A4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0FB4D7AF">
      <w:pPr>
        <w:adjustRightInd w:val="0"/>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w:t>
      </w:r>
      <w:r>
        <w:rPr>
          <w:rFonts w:hint="eastAsia" w:ascii="宋体" w:hAnsi="宋体" w:cs="宋体"/>
          <w:b/>
          <w:bCs/>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采购文件的澄清</w:t>
      </w:r>
    </w:p>
    <w:p w14:paraId="12099A2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7.1 任何要求对采购文件进行澄清的供应商，应在提交首次响应文件截止时间至少5日前按采购公告中的通讯地址，以书面形式通知代理机构。</w:t>
      </w:r>
    </w:p>
    <w:p w14:paraId="672B143C">
      <w:pPr>
        <w:adjustRightInd w:val="0"/>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w:t>
      </w:r>
      <w:r>
        <w:rPr>
          <w:rFonts w:hint="eastAsia" w:ascii="宋体" w:hAnsi="宋体" w:cs="宋体"/>
          <w:b/>
          <w:bCs/>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采购文件的修改</w:t>
      </w:r>
    </w:p>
    <w:p w14:paraId="6EBDF12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7B23B74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8.2采购文件的修改将在“扬州市政府采购网”、“江苏省政府采购网”公布，补充文件将作为采购文件的组成部分，并对供应商具有约束力。</w:t>
      </w:r>
    </w:p>
    <w:p w14:paraId="5190A96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9、采购文件的语言、度量衡单位、货币</w:t>
      </w:r>
    </w:p>
    <w:p w14:paraId="27B8A25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9.1供应商提交的响应文件以及供应商与代理机构就有关磋商的所有来往通知、函件和文件均应使用简体中文。</w:t>
      </w:r>
    </w:p>
    <w:p w14:paraId="046E730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9.2 除技术性能另有规定外，采购文件所使用的度量衡单位，均须采用国家法定计量单位。</w:t>
      </w:r>
    </w:p>
    <w:p w14:paraId="4B83D9F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9.3采购文件中的服务单价和总价无特殊规定的采用人民币报价，以元为单位标注。采购文件中另有规定的按规定执行。</w:t>
      </w:r>
    </w:p>
    <w:p w14:paraId="58288F4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10、响应文件构成</w:t>
      </w:r>
    </w:p>
    <w:p w14:paraId="29B1CDE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10.1磋商文件由以下部分组成</w:t>
      </w:r>
    </w:p>
    <w:p w14:paraId="1EC1A75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（1）资格审查响应对照表</w:t>
      </w:r>
    </w:p>
    <w:p w14:paraId="2A0329F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（2）符合性审查响应对照表</w:t>
      </w:r>
    </w:p>
    <w:p w14:paraId="213202B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（3）非实质性响应对照表</w:t>
      </w:r>
    </w:p>
    <w:p w14:paraId="3E9DD92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（4）磋商响应报价表 </w:t>
      </w:r>
    </w:p>
    <w:p w14:paraId="64B6F73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（5）分项报价表</w:t>
      </w:r>
    </w:p>
    <w:p w14:paraId="79ED8F1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（6）技术参数响应及偏离表 </w:t>
      </w:r>
    </w:p>
    <w:p w14:paraId="24B7E73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（7）商务条款响应及偏离表 </w:t>
      </w:r>
    </w:p>
    <w:p w14:paraId="00465E9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（8）其他（供应商认为有必要提供的声明和文件，如有自拟并自行添加）</w:t>
      </w:r>
    </w:p>
    <w:p w14:paraId="6B6CA11A">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10.2 供应商应当根据采购文件要求编制响应文件，响应文件应对采购文件提出的要求和条件作出响应，并在相应的响应文件中逐条标明满足与否。</w:t>
      </w:r>
    </w:p>
    <w:p w14:paraId="1C8CA8D5">
      <w:pPr>
        <w:adjustRightInd w:val="0"/>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11、证明供应商资格及符合采购文件规定的文件</w:t>
      </w:r>
    </w:p>
    <w:p w14:paraId="7191F5D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11.1供应商应按要求提交资格证明文件及符合采购文件规定的文件。</w:t>
      </w:r>
    </w:p>
    <w:p w14:paraId="62A9E0E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11.2供应商应提交证明其有资格参加磋商和成交后有能力独立履行合同的文件。</w:t>
      </w:r>
    </w:p>
    <w:p w14:paraId="4238B0C0">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11.3供应商除必须具有履行合同所需提供的产品或服务的能力外，还必须具备相应的财务、技术方面的能力。</w:t>
      </w:r>
    </w:p>
    <w:p w14:paraId="4536035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11.4供应商应提交根据合同要求提供的证明服务质量合格以及符合采购文件规定的证明文件。</w:t>
      </w:r>
    </w:p>
    <w:p w14:paraId="1A5BCD1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11.5证明供应商所提供服务与采购文件的要求相一致的文件可以是手册、图纸、文字资料和数据。</w:t>
      </w:r>
    </w:p>
    <w:p w14:paraId="3B386C2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12、磋商响应报价表</w:t>
      </w:r>
    </w:p>
    <w:p w14:paraId="18BE59F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12.1 供应商应按照采购文件规定格式填报磋商响应报价表，每项服务只允许有一个报价，任何有选择的报价将不予接受。</w:t>
      </w:r>
    </w:p>
    <w:p w14:paraId="749B95D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12.2 标的物</w:t>
      </w:r>
    </w:p>
    <w:p w14:paraId="3D3EDF50">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采购人需求的服务供应、安装，调试及有关技术服务等。</w:t>
      </w:r>
    </w:p>
    <w:p w14:paraId="2EE6F56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12.3其它费用处理</w:t>
      </w:r>
    </w:p>
    <w:p w14:paraId="64B3855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采购文件未列明，而供应商认为必需的费用也需列入报价。</w:t>
      </w:r>
    </w:p>
    <w:p w14:paraId="7BC33B4D">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13、技术参数响应及偏离表、商务条款响应及偏离表及磋商服务说明</w:t>
      </w:r>
    </w:p>
    <w:p w14:paraId="381642F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13.1 对采购文件中的技术与商务条款要求逐项作出响应或偏离，并说明原因；</w:t>
      </w:r>
    </w:p>
    <w:p w14:paraId="1BD310F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13.2 提供参加本项目类似案例简介；</w:t>
      </w:r>
    </w:p>
    <w:p w14:paraId="7725F3E0">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13.3 详细阐述所投服务的主要组成部分、功能设计、实现思路及关键技术；</w:t>
      </w:r>
    </w:p>
    <w:p w14:paraId="6FD72A70">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13.4 供应商认为需要的其他技术文件或说明。</w:t>
      </w:r>
    </w:p>
    <w:p w14:paraId="4D1F4A1E">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14、服务承诺及售后服务机构、人员的情况介绍</w:t>
      </w:r>
    </w:p>
    <w:p w14:paraId="4503791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14.1供应商的服务承诺应按不低于采购文件中商务要求的标准。</w:t>
      </w:r>
    </w:p>
    <w:p w14:paraId="5DC6E22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14.2提供供应商有关售后服务的管理制度、售后服务机构的分布情况、售后服务人员的数量、素质、技术水平及售后服务的反应能力。</w:t>
      </w:r>
    </w:p>
    <w:p w14:paraId="0B785E9E">
      <w:pPr>
        <w:adjustRightInd w:val="0"/>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15、磋商响应函</w:t>
      </w:r>
    </w:p>
    <w:p w14:paraId="77CA2C1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15.1 供应商应按照扬州市政府采购交易管理系统提供的格式完整、正确填写磋商响应函。</w:t>
      </w:r>
    </w:p>
    <w:p w14:paraId="09D6E828">
      <w:pPr>
        <w:adjustRightInd w:val="0"/>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16、磋商响应有效期</w:t>
      </w:r>
    </w:p>
    <w:p w14:paraId="13FCD15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16.1 磋商响应有效期为代理机构规定的响应文件接收截止时间后</w:t>
      </w:r>
      <w:r>
        <w:rPr>
          <w:rFonts w:hint="eastAsia" w:ascii="宋体" w:hAnsi="宋体" w:cs="宋体"/>
          <w:b/>
          <w:bCs/>
          <w:color w:val="000000" w:themeColor="text1"/>
          <w:u w:val="single"/>
          <w14:textFill>
            <w14:solidFill>
              <w14:schemeClr w14:val="tx1"/>
            </w14:solidFill>
          </w14:textFill>
        </w:rPr>
        <w:t>六十（60）天</w:t>
      </w:r>
      <w:r>
        <w:rPr>
          <w:rFonts w:hint="eastAsia" w:ascii="宋体" w:hAnsi="宋体" w:cs="宋体"/>
          <w:color w:val="000000" w:themeColor="text1"/>
          <w14:textFill>
            <w14:solidFill>
              <w14:schemeClr w14:val="tx1"/>
            </w14:solidFill>
          </w14:textFill>
        </w:rPr>
        <w:t>。磋商响应有效期比规定短的将被视为非实质性响应性而予以拒绝。</w:t>
      </w:r>
    </w:p>
    <w:p w14:paraId="15435CF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1F3C3F56">
      <w:pPr>
        <w:adjustRightInd w:val="0"/>
        <w:spacing w:line="360" w:lineRule="auto"/>
        <w:ind w:firstLine="420" w:firstLineChars="200"/>
        <w:rPr>
          <w:rFonts w:ascii="宋体" w:hAnsi="宋体" w:cs="宋体"/>
          <w:color w:val="000000" w:themeColor="text1"/>
          <w14:textFill>
            <w14:solidFill>
              <w14:schemeClr w14:val="tx1"/>
            </w14:solidFill>
          </w14:textFill>
        </w:rPr>
      </w:pPr>
      <w:bookmarkStart w:id="21" w:name="_Toc16938541"/>
      <w:bookmarkStart w:id="22" w:name="_Toc20823297"/>
      <w:r>
        <w:rPr>
          <w:rFonts w:hint="eastAsia" w:ascii="宋体" w:hAnsi="宋体" w:cs="宋体"/>
          <w:color w:val="000000" w:themeColor="text1"/>
          <w14:textFill>
            <w14:solidFill>
              <w14:schemeClr w14:val="tx1"/>
            </w14:solidFill>
          </w14:textFill>
        </w:rPr>
        <w:t>17、响应文件</w:t>
      </w:r>
      <w:bookmarkEnd w:id="21"/>
      <w:bookmarkEnd w:id="22"/>
      <w:r>
        <w:rPr>
          <w:rFonts w:hint="eastAsia" w:ascii="宋体" w:hAnsi="宋体" w:cs="宋体"/>
          <w:color w:val="000000" w:themeColor="text1"/>
          <w14:textFill>
            <w14:solidFill>
              <w14:schemeClr w14:val="tx1"/>
            </w14:solidFill>
          </w14:textFill>
        </w:rPr>
        <w:t>的递交</w:t>
      </w:r>
    </w:p>
    <w:p w14:paraId="144471C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17.1 电子响应文件的递交供应商应当按照《操作手册》规定，在磋商响应截止时间前制作并上传电子响应文件。</w:t>
      </w:r>
      <w:bookmarkStart w:id="23" w:name="_Toc20823298"/>
      <w:bookmarkStart w:id="24" w:name="_Toc16938542"/>
    </w:p>
    <w:p w14:paraId="71D30DBC">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17.2</w:t>
      </w:r>
      <w:r>
        <w:rPr>
          <w:rFonts w:hint="eastAsia" w:ascii="宋体" w:hAnsi="宋体" w:cs="宋体"/>
          <w:bCs/>
          <w:color w:val="000000" w:themeColor="text1"/>
          <w:szCs w:val="21"/>
          <w14:textFill>
            <w14:solidFill>
              <w14:schemeClr w14:val="tx1"/>
            </w14:solidFill>
          </w14:textFill>
        </w:rPr>
        <w:t>政府采购管理交易系统（苏采云）</w:t>
      </w:r>
      <w:r>
        <w:rPr>
          <w:rFonts w:hint="eastAsia" w:ascii="宋体" w:hAnsi="宋体" w:cs="宋体"/>
          <w:color w:val="000000" w:themeColor="text1"/>
          <w:szCs w:val="21"/>
          <w14:textFill>
            <w14:solidFill>
              <w14:schemeClr w14:val="tx1"/>
            </w14:solidFill>
          </w14:textFill>
        </w:rPr>
        <w:t>相关要求是本采购文件的组成部分。</w:t>
      </w:r>
    </w:p>
    <w:p w14:paraId="7D57C17F">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17.3供应商应对 CA 证书妥善保管，如被他人盗用投标，因此带来的结果均由供应商自行承担。</w:t>
      </w:r>
    </w:p>
    <w:p w14:paraId="29BC0AE1">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17.4供应商应当对采购文件提出的要求和条件作出实质性响应，并在电子投标系统逐条应答。</w:t>
      </w:r>
    </w:p>
    <w:p w14:paraId="5D3AC514">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17.5</w:t>
      </w:r>
      <w:r>
        <w:rPr>
          <w:rFonts w:hint="eastAsia" w:ascii="宋体" w:hAnsi="宋体" w:cs="宋体"/>
          <w:bCs/>
          <w:color w:val="000000" w:themeColor="text1"/>
          <w14:textFill>
            <w14:solidFill>
              <w14:schemeClr w14:val="tx1"/>
            </w14:solidFill>
          </w14:textFill>
        </w:rPr>
        <w:t>供应商</w:t>
      </w:r>
      <w:r>
        <w:rPr>
          <w:rFonts w:hint="eastAsia" w:ascii="宋体" w:hAnsi="宋体" w:cs="宋体"/>
          <w:color w:val="000000" w:themeColor="text1"/>
          <w:szCs w:val="21"/>
          <w14:textFill>
            <w14:solidFill>
              <w14:schemeClr w14:val="tx1"/>
            </w14:solidFill>
          </w14:textFill>
        </w:rPr>
        <w:t>应对要求提供的资格证明文件（如资质证书、资格证书）、技术资料（如白皮书、彩页、手册、检测报告等）扫描上传至投标系统。</w:t>
      </w:r>
    </w:p>
    <w:p w14:paraId="7DA7787A">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17.6各</w:t>
      </w:r>
      <w:r>
        <w:rPr>
          <w:rFonts w:hint="eastAsia" w:ascii="宋体" w:hAnsi="宋体" w:cs="宋体"/>
          <w:bCs/>
          <w:color w:val="000000" w:themeColor="text1"/>
          <w14:textFill>
            <w14:solidFill>
              <w14:schemeClr w14:val="tx1"/>
            </w14:solidFill>
          </w14:textFill>
        </w:rPr>
        <w:t>供应商</w:t>
      </w:r>
      <w:r>
        <w:rPr>
          <w:rFonts w:hint="eastAsia" w:ascii="宋体" w:hAnsi="宋体" w:cs="宋体"/>
          <w:color w:val="000000" w:themeColor="text1"/>
          <w:szCs w:val="21"/>
          <w14:textFill>
            <w14:solidFill>
              <w14:schemeClr w14:val="tx1"/>
            </w14:solidFill>
          </w14:textFill>
        </w:rPr>
        <w:t>应在规定时间内凭CA证书进行网上解密。</w:t>
      </w:r>
    </w:p>
    <w:p w14:paraId="4369FE88">
      <w:pPr>
        <w:adjustRightInd w:val="0"/>
        <w:spacing w:line="360" w:lineRule="auto"/>
        <w:ind w:firstLine="42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kern w:val="0"/>
          <w14:textFill>
            <w14:solidFill>
              <w14:schemeClr w14:val="tx1"/>
            </w14:solidFill>
          </w14:textFill>
        </w:rPr>
        <w:t>18、磋商响应截止日期</w:t>
      </w:r>
      <w:bookmarkEnd w:id="23"/>
      <w:bookmarkEnd w:id="24"/>
    </w:p>
    <w:p w14:paraId="185593C6">
      <w:pPr>
        <w:adjustRightInd w:val="0"/>
        <w:spacing w:line="360" w:lineRule="auto"/>
        <w:ind w:firstLine="422" w:firstLineChars="200"/>
        <w:rPr>
          <w:rFonts w:ascii="宋体" w:hAnsi="宋体" w:cs="宋体"/>
          <w:b/>
          <w:bCs/>
          <w:i/>
          <w:color w:val="000000" w:themeColor="text1"/>
          <w:u w:val="single"/>
          <w14:textFill>
            <w14:solidFill>
              <w14:schemeClr w14:val="tx1"/>
            </w14:solidFill>
          </w14:textFill>
        </w:rPr>
      </w:pPr>
      <w:r>
        <w:rPr>
          <w:rFonts w:hint="eastAsia" w:ascii="宋体" w:hAnsi="宋体" w:cs="宋体"/>
          <w:b/>
          <w:i/>
          <w:color w:val="000000" w:themeColor="text1"/>
          <w:u w:val="single"/>
          <w14:textFill>
            <w14:solidFill>
              <w14:schemeClr w14:val="tx1"/>
            </w14:solidFill>
          </w14:textFill>
        </w:rPr>
        <w:t>18.1</w:t>
      </w:r>
      <w:r>
        <w:rPr>
          <w:rFonts w:hint="eastAsia" w:ascii="宋体" w:hAnsi="宋体" w:cs="宋体"/>
          <w:b/>
          <w:bCs/>
          <w:i/>
          <w:color w:val="000000" w:themeColor="text1"/>
          <w:u w:val="single"/>
          <w14:textFill>
            <w14:solidFill>
              <w14:schemeClr w14:val="tx1"/>
            </w14:solidFill>
          </w14:textFill>
        </w:rPr>
        <w:t xml:space="preserve"> 供应商上传电子响应文件的时间不得迟于采购公告中规定的磋商响应截止时间。</w:t>
      </w:r>
    </w:p>
    <w:p w14:paraId="440AF83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供应商应充分考虑到网络环境、网络带宽等风险因素，如因供应商自身原因造成的电子响应文件上传不成功由供应商自行承担全部责任。</w:t>
      </w:r>
    </w:p>
    <w:p w14:paraId="57A327D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18.2 代理机构可以按照规定，通过修改采购文件延长磋商截止日期，在此情况下，供应商的所有权利和义务以及供应商受制的截止日期均应以延长后新的截止日期为准。</w:t>
      </w:r>
    </w:p>
    <w:p w14:paraId="11A9FC62">
      <w:pPr>
        <w:adjustRightInd w:val="0"/>
        <w:spacing w:line="360" w:lineRule="auto"/>
        <w:ind w:firstLine="420" w:firstLineChars="200"/>
        <w:rPr>
          <w:rFonts w:ascii="宋体" w:hAnsi="宋体" w:cs="宋体"/>
          <w:color w:val="000000" w:themeColor="text1"/>
          <w14:textFill>
            <w14:solidFill>
              <w14:schemeClr w14:val="tx1"/>
            </w14:solidFill>
          </w14:textFill>
        </w:rPr>
      </w:pPr>
      <w:bookmarkStart w:id="25" w:name="_Toc16938543"/>
      <w:bookmarkStart w:id="26" w:name="_Toc20823299"/>
      <w:r>
        <w:rPr>
          <w:rFonts w:hint="eastAsia" w:ascii="宋体" w:hAnsi="宋体" w:cs="宋体"/>
          <w:color w:val="000000" w:themeColor="text1"/>
          <w14:textFill>
            <w14:solidFill>
              <w14:schemeClr w14:val="tx1"/>
            </w14:solidFill>
          </w14:textFill>
        </w:rPr>
        <w:t>19、响应文件</w:t>
      </w:r>
      <w:bookmarkEnd w:id="25"/>
      <w:bookmarkEnd w:id="26"/>
      <w:r>
        <w:rPr>
          <w:rFonts w:hint="eastAsia" w:ascii="宋体" w:hAnsi="宋体" w:cs="宋体"/>
          <w:color w:val="000000" w:themeColor="text1"/>
          <w14:textFill>
            <w14:solidFill>
              <w14:schemeClr w14:val="tx1"/>
            </w14:solidFill>
          </w14:textFill>
        </w:rPr>
        <w:t>的拒收</w:t>
      </w:r>
    </w:p>
    <w:p w14:paraId="3C62A44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19.1代理机构拒绝接收在其规定的磋商截止时间后上传的任何响应文件。</w:t>
      </w:r>
    </w:p>
    <w:p w14:paraId="5641853C">
      <w:pPr>
        <w:adjustRightInd w:val="0"/>
        <w:spacing w:line="360" w:lineRule="auto"/>
        <w:ind w:firstLine="420" w:firstLineChars="200"/>
        <w:rPr>
          <w:rFonts w:ascii="宋体" w:hAnsi="宋体" w:cs="宋体"/>
          <w:color w:val="000000" w:themeColor="text1"/>
          <w14:textFill>
            <w14:solidFill>
              <w14:schemeClr w14:val="tx1"/>
            </w14:solidFill>
          </w14:textFill>
        </w:rPr>
      </w:pPr>
      <w:bookmarkStart w:id="27" w:name="_Toc20823300"/>
      <w:bookmarkStart w:id="28" w:name="_Toc16938544"/>
      <w:r>
        <w:rPr>
          <w:rFonts w:hint="eastAsia" w:ascii="宋体" w:hAnsi="宋体" w:cs="宋体"/>
          <w:color w:val="000000" w:themeColor="text1"/>
          <w14:textFill>
            <w14:solidFill>
              <w14:schemeClr w14:val="tx1"/>
            </w14:solidFill>
          </w14:textFill>
        </w:rPr>
        <w:t>20、响应文件的撤回和修改</w:t>
      </w:r>
      <w:bookmarkEnd w:id="27"/>
      <w:bookmarkEnd w:id="28"/>
    </w:p>
    <w:p w14:paraId="0844361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20.1 响应文件的撤回</w:t>
      </w:r>
    </w:p>
    <w:p w14:paraId="7E1754D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20.1.1 电子响应文件的撤回</w:t>
      </w:r>
    </w:p>
    <w:p w14:paraId="1322E6F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供应商可在磋商截止时间前，撤回其电子响应文件，具体操作方法见《操作手册》。</w:t>
      </w:r>
    </w:p>
    <w:p w14:paraId="4D80F76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20.1.2 供应商撤回电子响应文件，则认为其不再参与本项目磋商谈判。</w:t>
      </w:r>
    </w:p>
    <w:p w14:paraId="090B32D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20.2 响应文件的修改</w:t>
      </w:r>
    </w:p>
    <w:p w14:paraId="743A56C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供应商可在磋商截止时间前，对其电子响应文件进行修改，具体操作方法见《操作手册》。</w:t>
      </w:r>
    </w:p>
    <w:p w14:paraId="6ADB73D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20.3 在磋商截止时间之后，供应商不得对其电子响应文件作任何修改。</w:t>
      </w:r>
    </w:p>
    <w:p w14:paraId="469F36B0">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20.4 在磋商截止时间至采购文件中规定的磋商有效期满之间的这段时间内，供应商不得撤回其响应文件。</w:t>
      </w:r>
    </w:p>
    <w:p w14:paraId="43C8F97D">
      <w:pPr>
        <w:adjustRightInd w:val="0"/>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21、磋商</w:t>
      </w:r>
    </w:p>
    <w:p w14:paraId="46A58E5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21.1 代理机构将在采购公告中规定的时间和地点组织磋商开始仪式。供应商应当按照《操作手册》规定，参加磋商活动。</w:t>
      </w:r>
    </w:p>
    <w:p w14:paraId="3FEA868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21.2供应商在磋商过程中涉及到的响应文件解密等工作，应按照《操作手册》规定执行。</w:t>
      </w:r>
    </w:p>
    <w:p w14:paraId="458D9F77">
      <w:pPr>
        <w:adjustRightInd w:val="0"/>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22、磋商小组</w:t>
      </w:r>
    </w:p>
    <w:p w14:paraId="52F8D1BD">
      <w:pPr>
        <w:adjustRightInd w:val="0"/>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22.1磋商开始后，代理机构将立即组织磋商小组进行评审。</w:t>
      </w:r>
    </w:p>
    <w:p w14:paraId="0B0C620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22.2磋商小组由采购人代表和有关技术、经济等方面的专家组成，且人员构成符合政府采购有关规定。</w:t>
      </w:r>
    </w:p>
    <w:p w14:paraId="02CEEF3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22.3磋商小组独立工作，负责评审有效响应文件并确定成交候选供应商。</w:t>
      </w:r>
    </w:p>
    <w:p w14:paraId="37E19FDA">
      <w:pPr>
        <w:adjustRightInd w:val="0"/>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23、评审过程的保密与公正</w:t>
      </w:r>
    </w:p>
    <w:p w14:paraId="309304F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23.1评审专家应当遵守评审工作纪律，不得泄露评审情况和评审中获悉的商业秘密。</w:t>
      </w:r>
    </w:p>
    <w:p w14:paraId="02AE977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23.2在评审过程中，供应商不得以任何行为影响评审过程，否则其响应文件将被作为无效响应文件。</w:t>
      </w:r>
    </w:p>
    <w:p w14:paraId="09B1AE1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23.3 在评审期间，代理机构将设专门工作人员与供应商联系。</w:t>
      </w:r>
    </w:p>
    <w:p w14:paraId="4B2620D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23.4 代理机构和磋商小组不向未成交的供应商解释未成交原因，也不公布评审过程中的相关细节。</w:t>
      </w:r>
    </w:p>
    <w:p w14:paraId="0A1CAC79">
      <w:pPr>
        <w:adjustRightInd w:val="0"/>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24、磋商的澄清</w:t>
      </w:r>
    </w:p>
    <w:p w14:paraId="22439C3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24.1评审期间，磋商小组要求供应商澄清、说明或者更正响应文件以电子函件形式提交但并非对每个供应商都作澄清要求。</w:t>
      </w:r>
    </w:p>
    <w:p w14:paraId="6E48C4E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24.2接到磋商小组澄清要求的供应商应按磋商小组规定的时间和格式在</w:t>
      </w:r>
      <w:r>
        <w:rPr>
          <w:rFonts w:hint="eastAsia" w:ascii="宋体" w:hAnsi="宋体" w:cs="宋体"/>
          <w:b/>
          <w:bCs/>
          <w:color w:val="000000" w:themeColor="text1"/>
          <w14:textFill>
            <w14:solidFill>
              <w14:schemeClr w14:val="tx1"/>
            </w14:solidFill>
          </w14:textFill>
        </w:rPr>
        <w:t>”政府采购管理交易系统（苏采云）”</w:t>
      </w:r>
      <w:r>
        <w:rPr>
          <w:rFonts w:hint="eastAsia" w:ascii="宋体" w:hAnsi="宋体" w:cs="宋体"/>
          <w:color w:val="000000" w:themeColor="text1"/>
          <w14:textFill>
            <w14:solidFill>
              <w14:schemeClr w14:val="tx1"/>
            </w14:solidFill>
          </w14:textFill>
        </w:rPr>
        <w:t>中做出澄清，澄清的内容作为响应文件的补充部分。具体操作方式见</w:t>
      </w:r>
      <w:r>
        <w:rPr>
          <w:rFonts w:hint="eastAsia" w:ascii="宋体" w:hAnsi="宋体" w:cs="宋体"/>
          <w:bCs/>
          <w:color w:val="000000" w:themeColor="text1"/>
          <w14:textFill>
            <w14:solidFill>
              <w14:schemeClr w14:val="tx1"/>
            </w14:solidFill>
          </w14:textFill>
        </w:rPr>
        <w:t>《操作手册》</w:t>
      </w:r>
      <w:r>
        <w:rPr>
          <w:rFonts w:hint="eastAsia" w:ascii="宋体" w:hAnsi="宋体" w:cs="宋体"/>
          <w:color w:val="000000" w:themeColor="text1"/>
          <w14:textFill>
            <w14:solidFill>
              <w14:schemeClr w14:val="tx1"/>
            </w14:solidFill>
          </w14:textFill>
        </w:rPr>
        <w:t>。</w:t>
      </w:r>
    </w:p>
    <w:p w14:paraId="131FC03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24.3 接到磋商小组澄清要求的供应商如未按规定做出澄清，其风险由供应商自行承担。</w:t>
      </w:r>
    </w:p>
    <w:p w14:paraId="0C12C9F0">
      <w:pPr>
        <w:adjustRightInd w:val="0"/>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25、对响应文件的初审</w:t>
      </w:r>
    </w:p>
    <w:p w14:paraId="0441F36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25.1响应文件初审分为资格审查和符合性审查。</w:t>
      </w:r>
    </w:p>
    <w:p w14:paraId="102C6FD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25.1.1资格审查：依据法律法规和采购文件的规定，对响应文件中的资格证明文件进行审查。以确定供应商是否具备参加磋商的资格。</w:t>
      </w:r>
    </w:p>
    <w:p w14:paraId="6409888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25.1.2符合性检查：依据采购文件的规定，由磋商小组从响应文件的有效性、完整性和对采购文件的响应程度进行审查，以确定是否对采购文件的实质性要求作出响应。</w:t>
      </w:r>
    </w:p>
    <w:p w14:paraId="4393AEE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25.1.3 未通过资格审查或符合性审查的供应商，代理机构将在</w:t>
      </w:r>
      <w:r>
        <w:rPr>
          <w:rFonts w:hint="eastAsia" w:ascii="宋体" w:hAnsi="宋体" w:cs="宋体"/>
          <w:b/>
          <w:bCs/>
          <w:color w:val="000000" w:themeColor="text1"/>
          <w14:textFill>
            <w14:solidFill>
              <w14:schemeClr w14:val="tx1"/>
            </w14:solidFill>
          </w14:textFill>
        </w:rPr>
        <w:t>”政府采购管理交易系统（苏采云）”</w:t>
      </w:r>
      <w:r>
        <w:rPr>
          <w:rFonts w:hint="eastAsia" w:ascii="宋体" w:hAnsi="宋体" w:cs="宋体"/>
          <w:color w:val="000000" w:themeColor="text1"/>
          <w14:textFill>
            <w14:solidFill>
              <w14:schemeClr w14:val="tx1"/>
            </w14:solidFill>
          </w14:textFill>
        </w:rPr>
        <w:t>中告知未通过资格审查或符合性审查的原因，评审结束后，代理机构将不再告知未通过资格审查或符合性审查的原因。</w:t>
      </w:r>
    </w:p>
    <w:p w14:paraId="2D4AAC6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25.2在详细评审之前，磋商小组将首先审查每份响应文件是否实质性响应了采购文件的要求。实质性响应的响应文件应该是与采购文件要求的全部条款、条件和规格相符，没有重大偏离或保留。</w:t>
      </w:r>
    </w:p>
    <w:p w14:paraId="095C083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491F906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25.3如果响应文件实质上没有响应采购文件的要求，磋商小组将予以拒绝，供应商不得通过修改或撤销不合要求的偏离或保留而使其响应文件成为实质性响应的文件。</w:t>
      </w:r>
    </w:p>
    <w:p w14:paraId="5BBF47F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25.4 供应商在开、评标全过程中应保持通讯畅通，并安排专人与代理机构及磋商小组联系。</w:t>
      </w:r>
    </w:p>
    <w:p w14:paraId="4A262F4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26、磋商程序及评审方法和标准</w:t>
      </w:r>
    </w:p>
    <w:p w14:paraId="4C982989">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26.1磋商程序</w:t>
      </w:r>
    </w:p>
    <w:p w14:paraId="06929A2B">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26.1.1 对于通过资格性和符合性审查的供应商，磋商小组所有成员将集中与单一供应商在“政府采购管理交易系统（苏采云）”中分别进行磋商。</w:t>
      </w:r>
    </w:p>
    <w:p w14:paraId="51A6A930">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4BEB7D0E">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26.1.2 采购文件能够详细列明采购标的的技术、服务要求的，磋商结束后，磋商小组将要求所有实质性响应的供应商在规定时间内提交最后报价。</w:t>
      </w:r>
    </w:p>
    <w:p w14:paraId="3CEE3BAD">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3D183329">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348B53CC">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26.1.3 供应商未在磋商小组规定的时间内完成最后报价的视为放弃磋商，其响应按无效响应处理。最后报价须加盖电子签章。已提交响应文件的供应商，在提交最后报价之前，可以根据磋商情况退出磋商。</w:t>
      </w:r>
    </w:p>
    <w:p w14:paraId="60C9D415">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26.2 评审方法和标准</w:t>
      </w:r>
    </w:p>
    <w:p w14:paraId="652C5E0C">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26.2.1评审方法。经磋商确定最终采购需求和提交最后报价的供应商后，由磋商小组采用综合评分法对提交最后报价的供应商的响应文件和最后报价进行综合评分。</w:t>
      </w:r>
    </w:p>
    <w:p w14:paraId="410F0788">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C15C4E0">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26.2.2评审标准</w:t>
      </w:r>
    </w:p>
    <w:p w14:paraId="7895901A">
      <w:pPr>
        <w:adjustRightInd w:val="0"/>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见本采购文件第五章规定。</w:t>
      </w:r>
    </w:p>
    <w:p w14:paraId="00ED3331">
      <w:pPr>
        <w:adjustRightInd w:val="0"/>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27、无效响应及采购活动终止的情况</w:t>
      </w:r>
    </w:p>
    <w:p w14:paraId="26822E22">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27.1无效响应条款</w:t>
      </w:r>
    </w:p>
    <w:p w14:paraId="6108AD30">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27.1.1 供应商未按照采购文件要求上传电子磋商响应文件的。</w:t>
      </w:r>
    </w:p>
    <w:p w14:paraId="15B709B4">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27.1.2 供应商未成功解密电子磋商响应文件的。</w:t>
      </w:r>
    </w:p>
    <w:p w14:paraId="4B6185B9">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27.1.3 供应商不具备采购文件中规定资格要求的。</w:t>
      </w:r>
    </w:p>
    <w:p w14:paraId="6EFA1E4A">
      <w:pPr>
        <w:adjustRightInd w:val="0"/>
        <w:spacing w:line="360" w:lineRule="auto"/>
        <w:ind w:firstLine="420" w:firstLineChars="200"/>
        <w:rPr>
          <w:rFonts w:ascii="宋体" w:hAnsi="宋体" w:cs="宋体"/>
          <w:bCs/>
          <w:i/>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27.1.4 未通过符合性审查的。</w:t>
      </w:r>
    </w:p>
    <w:p w14:paraId="6E4DDFFA">
      <w:pPr>
        <w:adjustRightInd w:val="0"/>
        <w:spacing w:line="360" w:lineRule="auto"/>
        <w:ind w:firstLine="420" w:firstLineChars="200"/>
        <w:rPr>
          <w:rFonts w:ascii="宋体" w:hAnsi="宋体" w:cs="宋体"/>
          <w:bCs/>
          <w:i/>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27.1.5 不符合采购文件中规定的其他实质性要求和条件的</w:t>
      </w:r>
      <w:r>
        <w:rPr>
          <w:rFonts w:hint="eastAsia" w:ascii="宋体" w:hAnsi="宋体" w:cs="宋体"/>
          <w:b/>
          <w:bCs/>
          <w:color w:val="000000" w:themeColor="text1"/>
          <w14:textFill>
            <w14:solidFill>
              <w14:schemeClr w14:val="tx1"/>
            </w14:solidFill>
          </w14:textFill>
        </w:rPr>
        <w:t>（</w:t>
      </w:r>
      <w:r>
        <w:rPr>
          <w:rFonts w:hint="eastAsia" w:ascii="宋体" w:hAnsi="宋体" w:cs="宋体"/>
          <w:b/>
          <w:bCs/>
          <w:i/>
          <w:color w:val="000000" w:themeColor="text1"/>
          <w:u w:val="single"/>
          <w14:textFill>
            <w14:solidFill>
              <w14:schemeClr w14:val="tx1"/>
            </w14:solidFill>
          </w14:textFill>
        </w:rPr>
        <w:t>本采购文件中斜体且有下划线部分为实质性要求和条件）</w:t>
      </w:r>
      <w:r>
        <w:rPr>
          <w:rFonts w:hint="eastAsia" w:ascii="宋体" w:hAnsi="宋体" w:cs="宋体"/>
          <w:bCs/>
          <w:i/>
          <w:color w:val="000000" w:themeColor="text1"/>
          <w:u w:val="single"/>
          <w14:textFill>
            <w14:solidFill>
              <w14:schemeClr w14:val="tx1"/>
            </w14:solidFill>
          </w14:textFill>
        </w:rPr>
        <w:t>。</w:t>
      </w:r>
    </w:p>
    <w:p w14:paraId="68E33EA0">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27.1.6 </w:t>
      </w:r>
      <w:r>
        <w:rPr>
          <w:rFonts w:hint="eastAsia" w:ascii="宋体" w:hAnsi="宋体" w:cs="宋体"/>
          <w:color w:val="000000" w:themeColor="text1"/>
          <w14:textFill>
            <w14:solidFill>
              <w14:schemeClr w14:val="tx1"/>
            </w14:solidFill>
          </w14:textFill>
        </w:rPr>
        <w:t>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6F4CC8E1">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27.1.7 本项目采购产品被财政部、国家发改委、生态环境部等列入“节能产品品目清单”、“环境标志产品品目清单”强制采购范围，而供应商所磋商产品不在强制采购范围内的。</w:t>
      </w:r>
    </w:p>
    <w:p w14:paraId="4EA92C15">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27.1.8 响应文件未按照采购文件要求加盖电子签章。</w:t>
      </w:r>
    </w:p>
    <w:p w14:paraId="1ECCDE38">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27.1.9 其他法律、法规及本采购文件规定的属无效响应的情形。</w:t>
      </w:r>
    </w:p>
    <w:p w14:paraId="6ECE7616">
      <w:pPr>
        <w:spacing w:line="360" w:lineRule="auto"/>
        <w:ind w:firstLine="422" w:firstLineChars="200"/>
        <w:jc w:val="left"/>
        <w:rPr>
          <w:rFonts w:ascii="宋体" w:hAnsi="宋体" w:cs="宋体"/>
          <w:b/>
          <w:bCs/>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27.1.10</w:t>
      </w:r>
      <w:r>
        <w:rPr>
          <w:rFonts w:hint="eastAsia" w:ascii="宋体" w:hAnsi="宋体" w:cs="宋体"/>
          <w:b/>
          <w:bCs/>
          <w:color w:val="000000" w:themeColor="text1"/>
          <w14:textFill>
            <w14:solidFill>
              <w14:schemeClr w14:val="tx1"/>
            </w14:solidFill>
          </w14:textFill>
        </w:rPr>
        <w:t xml:space="preserve"> 异常低价投标（响应）</w:t>
      </w:r>
    </w:p>
    <w:p w14:paraId="15333D50">
      <w:pPr>
        <w:spacing w:line="360" w:lineRule="auto"/>
        <w:ind w:firstLine="422" w:firstLineChars="200"/>
        <w:jc w:val="lef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14:textFill>
            <w14:solidFill>
              <w14:schemeClr w14:val="tx1"/>
            </w14:solidFill>
          </w14:textFill>
        </w:rPr>
        <w:t>27.1.10</w:t>
      </w:r>
      <w:r>
        <w:rPr>
          <w:rFonts w:hint="eastAsia" w:ascii="宋体" w:hAnsi="宋体" w:cs="宋体"/>
          <w:b/>
          <w:color w:val="000000" w:themeColor="text1"/>
          <w:szCs w:val="21"/>
          <w14:textFill>
            <w14:solidFill>
              <w14:schemeClr w14:val="tx1"/>
            </w14:solidFill>
          </w14:textFill>
        </w:rPr>
        <w:t>.1投标（响应）报价低于全部通过符合性审查供应商投标（响应）报价平均值6</w:t>
      </w:r>
      <w:r>
        <w:rPr>
          <w:rFonts w:hint="eastAsia" w:ascii="宋体" w:hAnsi="宋体" w:cs="宋体"/>
          <w:b/>
          <w:color w:val="000000" w:themeColor="text1"/>
          <w:szCs w:val="21"/>
          <w:lang w:val="en-US" w:eastAsia="zh-CN"/>
          <w14:textFill>
            <w14:solidFill>
              <w14:schemeClr w14:val="tx1"/>
            </w14:solidFill>
          </w14:textFill>
        </w:rPr>
        <w:t>5</w:t>
      </w:r>
      <w:r>
        <w:rPr>
          <w:rFonts w:hint="eastAsia" w:ascii="宋体" w:hAnsi="宋体" w:cs="宋体"/>
          <w:b/>
          <w:color w:val="000000" w:themeColor="text1"/>
          <w:szCs w:val="21"/>
          <w14:textFill>
            <w14:solidFill>
              <w14:schemeClr w14:val="tx1"/>
            </w14:solidFill>
          </w14:textFill>
        </w:rPr>
        <w:t>%的，即投标（响应）报价&lt;全部通过符合性审查供应商投标（响应）报价平均值×6</w:t>
      </w:r>
      <w:r>
        <w:rPr>
          <w:rFonts w:hint="eastAsia" w:ascii="宋体" w:hAnsi="宋体" w:cs="宋体"/>
          <w:b/>
          <w:color w:val="000000" w:themeColor="text1"/>
          <w:szCs w:val="21"/>
          <w:lang w:val="en-US" w:eastAsia="zh-CN"/>
          <w14:textFill>
            <w14:solidFill>
              <w14:schemeClr w14:val="tx1"/>
            </w14:solidFill>
          </w14:textFill>
        </w:rPr>
        <w:t>5</w:t>
      </w:r>
      <w:r>
        <w:rPr>
          <w:rFonts w:hint="eastAsia" w:ascii="宋体" w:hAnsi="宋体" w:cs="宋体"/>
          <w:b/>
          <w:color w:val="000000" w:themeColor="text1"/>
          <w:szCs w:val="21"/>
          <w14:textFill>
            <w14:solidFill>
              <w14:schemeClr w14:val="tx1"/>
            </w14:solidFill>
          </w14:textFill>
        </w:rPr>
        <w:t>%；</w:t>
      </w:r>
    </w:p>
    <w:p w14:paraId="4B6425FC">
      <w:pPr>
        <w:spacing w:line="360" w:lineRule="auto"/>
        <w:ind w:firstLine="422" w:firstLineChars="200"/>
        <w:jc w:val="left"/>
        <w:rPr>
          <w:rFonts w:ascii="宋体" w:hAnsi="宋体" w:cs="宋体"/>
          <w:bCs/>
          <w:color w:val="000000" w:themeColor="text1"/>
          <w:szCs w:val="21"/>
          <w14:textFill>
            <w14:solidFill>
              <w14:schemeClr w14:val="tx1"/>
            </w14:solidFill>
          </w14:textFill>
        </w:rPr>
      </w:pPr>
      <w:r>
        <w:rPr>
          <w:rFonts w:hint="eastAsia" w:ascii="宋体" w:hAnsi="宋体" w:cs="宋体"/>
          <w:b/>
          <w:color w:val="000000" w:themeColor="text1"/>
          <w14:textFill>
            <w14:solidFill>
              <w14:schemeClr w14:val="tx1"/>
            </w14:solidFill>
          </w14:textFill>
        </w:rPr>
        <w:t>27.1.10</w:t>
      </w:r>
      <w:r>
        <w:rPr>
          <w:rFonts w:hint="eastAsia" w:ascii="宋体" w:hAnsi="宋体" w:cs="宋体"/>
          <w:b/>
          <w:color w:val="000000" w:themeColor="text1"/>
          <w:szCs w:val="21"/>
          <w14:textFill>
            <w14:solidFill>
              <w14:schemeClr w14:val="tx1"/>
            </w14:solidFill>
          </w14:textFill>
        </w:rPr>
        <w:t>.2投标（响应）报价低于通过符合性审查的次低报价供应商投标（响应）报价6</w:t>
      </w:r>
      <w:r>
        <w:rPr>
          <w:rFonts w:hint="eastAsia" w:ascii="宋体" w:hAnsi="宋体" w:cs="宋体"/>
          <w:b/>
          <w:color w:val="000000" w:themeColor="text1"/>
          <w:szCs w:val="21"/>
          <w:lang w:val="en-US" w:eastAsia="zh-CN"/>
          <w14:textFill>
            <w14:solidFill>
              <w14:schemeClr w14:val="tx1"/>
            </w14:solidFill>
          </w14:textFill>
        </w:rPr>
        <w:t>5</w:t>
      </w:r>
      <w:r>
        <w:rPr>
          <w:rFonts w:hint="eastAsia" w:ascii="宋体" w:hAnsi="宋体" w:cs="宋体"/>
          <w:b/>
          <w:color w:val="000000" w:themeColor="text1"/>
          <w:szCs w:val="21"/>
          <w14:textFill>
            <w14:solidFill>
              <w14:schemeClr w14:val="tx1"/>
            </w14:solidFill>
          </w14:textFill>
        </w:rPr>
        <w:t>%的，即投标（响应）报价&lt;通过符合性审查的次低报价供应商投标（响应）报价×6</w:t>
      </w:r>
      <w:r>
        <w:rPr>
          <w:rFonts w:hint="eastAsia" w:ascii="宋体" w:hAnsi="宋体" w:cs="宋体"/>
          <w:b/>
          <w:color w:val="000000" w:themeColor="text1"/>
          <w:szCs w:val="21"/>
          <w:lang w:val="en-US" w:eastAsia="zh-CN"/>
          <w14:textFill>
            <w14:solidFill>
              <w14:schemeClr w14:val="tx1"/>
            </w14:solidFill>
          </w14:textFill>
        </w:rPr>
        <w:t>5</w:t>
      </w:r>
      <w:r>
        <w:rPr>
          <w:rFonts w:hint="eastAsia" w:ascii="宋体" w:hAnsi="宋体" w:cs="宋体"/>
          <w:b/>
          <w:color w:val="000000" w:themeColor="text1"/>
          <w:szCs w:val="21"/>
          <w14:textFill>
            <w14:solidFill>
              <w14:schemeClr w14:val="tx1"/>
            </w14:solidFill>
          </w14:textFill>
        </w:rPr>
        <w:t>%；</w:t>
      </w:r>
      <w:r>
        <w:rPr>
          <w:rFonts w:hint="eastAsia" w:ascii="宋体" w:hAnsi="宋体" w:cs="宋体"/>
          <w:b/>
          <w:color w:val="000000" w:themeColor="text1"/>
          <w:szCs w:val="21"/>
          <w14:textFill>
            <w14:solidFill>
              <w14:schemeClr w14:val="tx1"/>
            </w14:solidFill>
          </w14:textFill>
        </w:rPr>
        <w:br w:type="textWrapping"/>
      </w:r>
      <w:r>
        <w:rPr>
          <w:rFonts w:hint="eastAsia" w:ascii="宋体" w:hAnsi="宋体" w:cs="宋体"/>
          <w:b/>
          <w:color w:val="000000" w:themeColor="text1"/>
          <w:szCs w:val="21"/>
          <w14:textFill>
            <w14:solidFill>
              <w14:schemeClr w14:val="tx1"/>
            </w14:solidFill>
          </w14:textFill>
        </w:rPr>
        <w:t xml:space="preserve">    </w:t>
      </w:r>
      <w:r>
        <w:rPr>
          <w:rFonts w:hint="eastAsia" w:ascii="宋体" w:hAnsi="宋体" w:cs="宋体"/>
          <w:b/>
          <w:color w:val="000000" w:themeColor="text1"/>
          <w14:textFill>
            <w14:solidFill>
              <w14:schemeClr w14:val="tx1"/>
            </w14:solidFill>
          </w14:textFill>
        </w:rPr>
        <w:t>27.1.10</w:t>
      </w:r>
      <w:r>
        <w:rPr>
          <w:rFonts w:hint="eastAsia" w:ascii="宋体" w:hAnsi="宋体" w:cs="宋体"/>
          <w:b/>
          <w:color w:val="000000" w:themeColor="text1"/>
          <w:szCs w:val="21"/>
          <w14:textFill>
            <w14:solidFill>
              <w14:schemeClr w14:val="tx1"/>
            </w14:solidFill>
          </w14:textFill>
        </w:rPr>
        <w:t>.3投标（响应）报价低于采购项目最高限价 6</w:t>
      </w:r>
      <w:r>
        <w:rPr>
          <w:rFonts w:hint="eastAsia" w:ascii="宋体" w:hAnsi="宋体" w:cs="宋体"/>
          <w:b/>
          <w:color w:val="000000" w:themeColor="text1"/>
          <w:szCs w:val="21"/>
          <w:lang w:val="en-US" w:eastAsia="zh-CN"/>
          <w14:textFill>
            <w14:solidFill>
              <w14:schemeClr w14:val="tx1"/>
            </w14:solidFill>
          </w14:textFill>
        </w:rPr>
        <w:t>5</w:t>
      </w:r>
      <w:r>
        <w:rPr>
          <w:rFonts w:hint="eastAsia" w:ascii="宋体" w:hAnsi="宋体" w:cs="宋体"/>
          <w:b/>
          <w:color w:val="000000" w:themeColor="text1"/>
          <w:szCs w:val="21"/>
          <w14:textFill>
            <w14:solidFill>
              <w14:schemeClr w14:val="tx1"/>
            </w14:solidFill>
          </w14:textFill>
        </w:rPr>
        <w:t>% 的，即投标（响应）报价&lt;采购项目最高限价×6</w:t>
      </w:r>
      <w:r>
        <w:rPr>
          <w:rFonts w:hint="eastAsia" w:ascii="宋体" w:hAnsi="宋体" w:cs="宋体"/>
          <w:b/>
          <w:color w:val="000000" w:themeColor="text1"/>
          <w:szCs w:val="21"/>
          <w:lang w:val="en-US" w:eastAsia="zh-CN"/>
          <w14:textFill>
            <w14:solidFill>
              <w14:schemeClr w14:val="tx1"/>
            </w14:solidFill>
          </w14:textFill>
        </w:rPr>
        <w:t>5</w:t>
      </w:r>
      <w:r>
        <w:rPr>
          <w:rFonts w:hint="eastAsia" w:ascii="宋体" w:hAnsi="宋体" w:cs="宋体"/>
          <w:b/>
          <w:color w:val="000000" w:themeColor="text1"/>
          <w:szCs w:val="21"/>
          <w14:textFill>
            <w14:solidFill>
              <w14:schemeClr w14:val="tx1"/>
            </w14:solidFill>
          </w14:textFill>
        </w:rPr>
        <w:t>% ；</w:t>
      </w:r>
      <w:r>
        <w:rPr>
          <w:rFonts w:hint="eastAsia" w:ascii="宋体" w:hAnsi="宋体" w:cs="宋体"/>
          <w:b/>
          <w:color w:val="000000" w:themeColor="text1"/>
          <w:szCs w:val="21"/>
          <w14:textFill>
            <w14:solidFill>
              <w14:schemeClr w14:val="tx1"/>
            </w14:solidFill>
          </w14:textFill>
        </w:rPr>
        <w:br w:type="textWrapping"/>
      </w:r>
      <w:r>
        <w:rPr>
          <w:rFonts w:hint="eastAsia" w:ascii="宋体" w:hAnsi="宋体" w:cs="宋体"/>
          <w:b/>
          <w:color w:val="000000" w:themeColor="text1"/>
          <w:szCs w:val="21"/>
          <w14:textFill>
            <w14:solidFill>
              <w14:schemeClr w14:val="tx1"/>
            </w14:solidFill>
          </w14:textFill>
        </w:rPr>
        <w:t xml:space="preserve">     </w:t>
      </w:r>
      <w:r>
        <w:rPr>
          <w:rFonts w:hint="eastAsia" w:ascii="宋体" w:hAnsi="宋体" w:cs="宋体"/>
          <w:b/>
          <w:color w:val="000000" w:themeColor="text1"/>
          <w14:textFill>
            <w14:solidFill>
              <w14:schemeClr w14:val="tx1"/>
            </w14:solidFill>
          </w14:textFill>
        </w:rPr>
        <w:t>27.1.10</w:t>
      </w:r>
      <w:r>
        <w:rPr>
          <w:rFonts w:hint="eastAsia" w:ascii="宋体" w:hAnsi="宋体" w:cs="宋体"/>
          <w:b/>
          <w:color w:val="000000" w:themeColor="text1"/>
          <w:szCs w:val="21"/>
          <w14:textFill>
            <w14:solidFill>
              <w14:schemeClr w14:val="tx1"/>
            </w14:solidFill>
          </w14:textFill>
        </w:rPr>
        <w:t>.4评审委员会认定的供应商报价过低、有可能影响产品质量或者不能诚信履约的其他情形。</w:t>
      </w:r>
      <w:r>
        <w:rPr>
          <w:rFonts w:hint="eastAsia" w:ascii="宋体" w:hAnsi="宋体" w:cs="宋体"/>
          <w:b/>
          <w:color w:val="000000" w:themeColor="text1"/>
          <w:szCs w:val="21"/>
          <w14:textFill>
            <w14:solidFill>
              <w14:schemeClr w14:val="tx1"/>
            </w14:solidFill>
          </w14:textFill>
        </w:rPr>
        <w:br w:type="textWrapping"/>
      </w:r>
      <w:r>
        <w:rPr>
          <w:rFonts w:hint="eastAsia" w:ascii="宋体" w:hAnsi="宋体" w:cs="宋体"/>
          <w:b/>
          <w:color w:val="000000" w:themeColor="text1"/>
          <w:szCs w:val="21"/>
          <w14:textFill>
            <w14:solidFill>
              <w14:schemeClr w14:val="tx1"/>
            </w14:solidFill>
          </w14:textFill>
        </w:rPr>
        <w:t xml:space="preserve">    </w:t>
      </w:r>
      <w:r>
        <w:rPr>
          <w:rFonts w:hint="eastAsia" w:ascii="宋体" w:hAnsi="宋体" w:cs="宋体"/>
          <w:b/>
          <w:color w:val="000000" w:themeColor="text1"/>
          <w14:textFill>
            <w14:solidFill>
              <w14:schemeClr w14:val="tx1"/>
            </w14:solidFill>
          </w14:textFill>
        </w:rPr>
        <w:t>27.1.10</w:t>
      </w:r>
      <w:r>
        <w:rPr>
          <w:rFonts w:hint="eastAsia" w:ascii="宋体" w:hAnsi="宋体" w:cs="宋体"/>
          <w:b/>
          <w:color w:val="000000" w:themeColor="text1"/>
          <w:szCs w:val="21"/>
          <w14:textFill>
            <w14:solidFill>
              <w14:schemeClr w14:val="tx1"/>
            </w14:solidFill>
          </w14:textFill>
        </w:rPr>
        <w:t>.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color w:val="000000" w:themeColor="text1"/>
          <w:szCs w:val="21"/>
          <w14:textFill>
            <w14:solidFill>
              <w14:schemeClr w14:val="tx1"/>
            </w14:solidFill>
          </w14:textFill>
        </w:rPr>
        <w:br w:type="textWrapping"/>
      </w:r>
      <w:r>
        <w:rPr>
          <w:rFonts w:hint="eastAsia" w:ascii="宋体" w:hAnsi="宋体" w:cs="宋体"/>
          <w:b/>
          <w:color w:val="000000" w:themeColor="text1"/>
          <w:szCs w:val="21"/>
          <w14:textFill>
            <w14:solidFill>
              <w14:schemeClr w14:val="tx1"/>
            </w14:solidFill>
          </w14:textFill>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color w:val="000000" w:themeColor="text1"/>
          <w:szCs w:val="21"/>
          <w14:textFill>
            <w14:solidFill>
              <w14:schemeClr w14:val="tx1"/>
            </w14:solidFill>
          </w14:textFill>
        </w:rPr>
        <w:br w:type="textWrapping"/>
      </w:r>
      <w:r>
        <w:rPr>
          <w:rFonts w:hint="eastAsia" w:ascii="宋体" w:hAnsi="宋体" w:cs="宋体"/>
          <w:b/>
          <w:color w:val="000000" w:themeColor="text1"/>
          <w:szCs w:val="21"/>
          <w14:textFill>
            <w14:solidFill>
              <w14:schemeClr w14:val="tx1"/>
            </w14:solidFill>
          </w14:textFill>
        </w:rPr>
        <w:t xml:space="preserve">    异常低价投标（响应）审查的启动原因、审查意见和审查结果应当在评审报告中记录，并随供应商提供的相关书面说明及证明材料，以及评审委员会有关互联网浏览、查询历史一并归档。</w:t>
      </w:r>
    </w:p>
    <w:p w14:paraId="501BFB58">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27.2 </w:t>
      </w:r>
      <w:r>
        <w:rPr>
          <w:rFonts w:hint="eastAsia" w:ascii="宋体" w:hAnsi="宋体" w:cs="宋体"/>
          <w:color w:val="000000" w:themeColor="text1"/>
          <w14:textFill>
            <w14:solidFill>
              <w14:schemeClr w14:val="tx1"/>
            </w14:solidFill>
          </w14:textFill>
        </w:rPr>
        <w:t>采购活动终止的情况</w:t>
      </w:r>
      <w:r>
        <w:rPr>
          <w:rFonts w:hint="eastAsia" w:ascii="宋体" w:hAnsi="宋体" w:cs="宋体"/>
          <w:bCs/>
          <w:color w:val="000000" w:themeColor="text1"/>
          <w14:textFill>
            <w14:solidFill>
              <w14:schemeClr w14:val="tx1"/>
            </w14:solidFill>
          </w14:textFill>
        </w:rPr>
        <w:t>：</w:t>
      </w:r>
    </w:p>
    <w:p w14:paraId="6C7F3ADA">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27.2.1 因情况变化，不再符合规定的竞争性磋商采购方式适用情形的；</w:t>
      </w:r>
    </w:p>
    <w:p w14:paraId="5965B388">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27.2.2 出现影响采购公正的违法、违规行为的；</w:t>
      </w:r>
    </w:p>
    <w:p w14:paraId="2ADDAA16">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27.2.3 </w:t>
      </w:r>
      <w:r>
        <w:rPr>
          <w:rFonts w:hint="eastAsia" w:ascii="宋体" w:hAnsi="宋体" w:cs="宋体"/>
          <w:color w:val="000000" w:themeColor="text1"/>
          <w14:textFill>
            <w14:solidFill>
              <w14:schemeClr w14:val="tx1"/>
            </w14:solidFill>
          </w14:textFill>
        </w:rPr>
        <w:t>除本磋商文件第26.1.2条第三款规定的情形外，在采购过程中符合要求的供应商或者报价未超过采购预算的供应商不足3家的。</w:t>
      </w:r>
    </w:p>
    <w:p w14:paraId="12DEA144">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27.2.4 因重大变故，采购任务取消的。</w:t>
      </w:r>
    </w:p>
    <w:p w14:paraId="4974A280">
      <w:pPr>
        <w:adjustRightInd w:val="0"/>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28、确定成交单位</w:t>
      </w:r>
    </w:p>
    <w:p w14:paraId="7C352D8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7264C9D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28.2 采购人应根据磋商推荐的成交候选人，确定最终成交供应商。</w:t>
      </w:r>
    </w:p>
    <w:p w14:paraId="31D57A4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28.3 代理机构将在“扬州市政府采购网”、“江苏省政府采购网”发布成交公告，公告期限为1个工作日。</w:t>
      </w:r>
    </w:p>
    <w:p w14:paraId="0C3769D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 若有充分证据证明，成交供应商出现下列情况之一的，一经查实，将被取消成交资格：</w:t>
      </w:r>
    </w:p>
    <w:p w14:paraId="0F988D8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28.4.1 提供虚假材料谋取成交的；</w:t>
      </w:r>
    </w:p>
    <w:p w14:paraId="495B3ED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28.4.2 向采购人、代理机构行贿或者提供其他不正当利益的；</w:t>
      </w:r>
    </w:p>
    <w:p w14:paraId="0FDEDBF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28.4.3 恶意竞争，最终总报价明显低于其自身合理成本且又无法提供证明的；</w:t>
      </w:r>
    </w:p>
    <w:p w14:paraId="2A70E28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28.4.4 属于本文件规定的无效条件，但在评审过程中又未被磋商小组发现的；</w:t>
      </w:r>
    </w:p>
    <w:p w14:paraId="35E8024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28.4.5 与采购人或者其他供应商恶意串通的；</w:t>
      </w:r>
    </w:p>
    <w:p w14:paraId="556FD23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28.4.6 采取不正当手段诋毁、排挤其他供应商的；</w:t>
      </w:r>
    </w:p>
    <w:p w14:paraId="7FBF9B9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28.4.7 不符合法律、法规的规定的。</w:t>
      </w:r>
    </w:p>
    <w:p w14:paraId="6A4FAD2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29、质疑处理</w:t>
      </w:r>
    </w:p>
    <w:p w14:paraId="7FDE88E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29.1提出质疑的供应商应当是参与所质疑项目采购活动的供应商。潜在供应商依法获取其可质疑的采购文件的，可以对采购文件提出质疑。</w:t>
      </w:r>
    </w:p>
    <w:p w14:paraId="66382BB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对项目需求部分的质疑，潜在供应商应向采购人提出，由采购人负责答复。</w:t>
      </w:r>
    </w:p>
    <w:p w14:paraId="23E1EF2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29.2供应商认为采购文件、采购过程和中标或成交结果使自己的权益受到损害的，可以在知道或应知其权益受到损害之日起7个工作日内，以书面形式向采购人或代理机构提出质疑。</w:t>
      </w:r>
    </w:p>
    <w:p w14:paraId="40E9F7B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29.2.1对采购文件提出质疑的，应当在获取采购文件之日或者采购文件公告期限届满之日起7个工作日内提出。</w:t>
      </w:r>
    </w:p>
    <w:p w14:paraId="2515EA79">
      <w:pPr>
        <w:adjustRightInd w:val="0"/>
        <w:spacing w:line="360" w:lineRule="auto"/>
        <w:ind w:firstLine="315" w:firstLineChars="15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29.2.2对采购过程提出质疑的，为各采购程序环节结束之日起7个工作日内提出。</w:t>
      </w:r>
    </w:p>
    <w:p w14:paraId="34425FD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29.2.3对成交结果提出质疑的，为成交结果公告期限届满之日起7个工作日内提出。</w:t>
      </w:r>
    </w:p>
    <w:p w14:paraId="6FDA480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29.3供应商应在法定质疑期内一次性提出针对同一采购程序环节的质疑。供应商如在法定期限内对同一采购程序环节提出多次质疑的，代理机构、采购人将只对供应商第一次质疑作出答复。</w:t>
      </w:r>
    </w:p>
    <w:p w14:paraId="7704F03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p>
    <w:p w14:paraId="29EEED8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29.5 代理机构及采购人只接收以纸质原件形式送达的质疑。</w:t>
      </w:r>
    </w:p>
    <w:p w14:paraId="244B4B6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采购人质疑接收人及联系方式见采购文件第一章。</w:t>
      </w:r>
    </w:p>
    <w:p w14:paraId="3C3A09E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29.6代理机构收到质疑申请后，将对质疑的形式和内容进行审查，如质疑内容、格式不符合规定，代理机构将告知质疑人进行补正。</w:t>
      </w:r>
    </w:p>
    <w:p w14:paraId="41CCF70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29.7质疑人应当在法定质疑期限内进行补正并重新提交质疑函。</w:t>
      </w:r>
    </w:p>
    <w:p w14:paraId="2DC6AA7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29.8 以下情形的质疑不予受理</w:t>
      </w:r>
    </w:p>
    <w:p w14:paraId="4F82618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29.8.1 内容不符合《政府采购质疑和投诉办法》第十二条规定的质疑。</w:t>
      </w:r>
    </w:p>
    <w:p w14:paraId="094805D0">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29.8.2 超出政府采购法定期限的质疑。</w:t>
      </w:r>
    </w:p>
    <w:p w14:paraId="66FFD4A0">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29.8.3 以传真、电子邮件等方式递交的非原件形式的质疑。</w:t>
      </w:r>
    </w:p>
    <w:p w14:paraId="5BC4C55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29.8.4 未参加磋商活动的供应商或在磋商活动中自身权益未受到损害的供应商所提出的质疑。</w:t>
      </w:r>
    </w:p>
    <w:p w14:paraId="21B5EC5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29.8.5供应商组成联合体参加磋商，联合体中任何一方或多方未按要求签字、盖章、加盖公章的质疑。</w:t>
      </w:r>
    </w:p>
    <w:p w14:paraId="1AEA43C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13F4F9C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29.10代理机构应当在收到供应商的书面质疑后7个工作日内作出答复，并以书面形式通知质疑供应商和其他有关供应商，但答复的内容不得涉及商业秘密。</w:t>
      </w:r>
    </w:p>
    <w:p w14:paraId="4BC7FF6D">
      <w:pPr>
        <w:adjustRightInd w:val="0"/>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30、成交通知书</w:t>
      </w:r>
    </w:p>
    <w:p w14:paraId="6BE0DD2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30.l成交结果确定后，代理机构将向成交供应商发出成通知书。</w:t>
      </w:r>
    </w:p>
    <w:p w14:paraId="27EB5A1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30.2 成交供应商可在”扬州市政府采购交易管理系统（苏采云）”成交通知书下载模块中自行下载成交通知书。</w:t>
      </w:r>
    </w:p>
    <w:p w14:paraId="6F86C0A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30.3成交通知书将是合同的一个组成部分。对采购人和成交供应商均具有法律效力。成交通知书发出后，采购人改变成交结果的，或者成交供应商放弃成交项目的，应当依法承担法律责任。</w:t>
      </w:r>
    </w:p>
    <w:p w14:paraId="5D63292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30.4</w:t>
      </w:r>
      <w:r>
        <w:rPr>
          <w:rFonts w:hint="eastAsia" w:ascii="宋体" w:hAnsi="宋体" w:cs="宋体"/>
          <w:b/>
          <w:bCs/>
          <w:color w:val="000000" w:themeColor="text1"/>
          <w14:textFill>
            <w14:solidFill>
              <w14:schemeClr w14:val="tx1"/>
            </w14:solidFill>
          </w14:textFill>
        </w:rPr>
        <w:t>成交供应商需在成交通知书发出后3日内，向代理机构提供肆份纸质响应文件并加盖公章（一正叁副）。</w:t>
      </w:r>
    </w:p>
    <w:p w14:paraId="3AC53B2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31、签订合同</w:t>
      </w:r>
    </w:p>
    <w:p w14:paraId="03F6E4C3">
      <w:pPr>
        <w:adjustRightInd w:val="0"/>
        <w:snapToGrid w:val="0"/>
        <w:spacing w:line="360" w:lineRule="auto"/>
        <w:ind w:firstLine="420" w:firstLineChars="200"/>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31.l成交供应商应在成交通知书发出之日起十五日内，按照采购文件确定的事项与采购人签订政府采购合同。</w:t>
      </w:r>
      <w:r>
        <w:rPr>
          <w:rFonts w:hint="eastAsia" w:ascii="宋体" w:hAnsi="宋体" w:cs="宋体"/>
          <w:b/>
          <w:color w:val="000000" w:themeColor="text1"/>
          <w:szCs w:val="21"/>
          <w14:textFill>
            <w14:solidFill>
              <w14:schemeClr w14:val="tx1"/>
            </w14:solidFill>
          </w14:textFill>
        </w:rPr>
        <w:t>如在规定期限内不与采购人签订政府采购合同，将视为放弃中标资格，应当依法承担法律责任。采购人可以根据实际情况选择向第二中标人发出成交通知书，或者选择重新招标</w:t>
      </w:r>
      <w:r>
        <w:rPr>
          <w:rFonts w:hint="eastAsia" w:ascii="宋体" w:hAnsi="宋体" w:cs="宋体"/>
          <w:color w:val="000000" w:themeColor="text1"/>
          <w14:textFill>
            <w14:solidFill>
              <w14:schemeClr w14:val="tx1"/>
            </w14:solidFill>
          </w14:textFill>
        </w:rPr>
        <w:t>。</w:t>
      </w:r>
      <w:r>
        <w:rPr>
          <w:rFonts w:hint="eastAsia" w:ascii="宋体" w:hAnsi="宋体" w:cs="宋体"/>
          <w:b/>
          <w:color w:val="000000" w:themeColor="text1"/>
          <w:szCs w:val="21"/>
          <w14:textFill>
            <w14:solidFill>
              <w14:schemeClr w14:val="tx1"/>
            </w14:solidFill>
          </w14:textFill>
        </w:rPr>
        <w:t>‌</w:t>
      </w:r>
    </w:p>
    <w:p w14:paraId="7AA6BE0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31.2采购文件、成交供应商的响应文件及磋商过程中有关澄清、承诺文件均应作为合同附件。</w:t>
      </w:r>
    </w:p>
    <w:p w14:paraId="6E451AA6">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31.3 合同在“政府采购管理交易系统（苏采云）”中签订，签订合同后，</w:t>
      </w:r>
      <w:r>
        <w:rPr>
          <w:rFonts w:hint="eastAsia" w:ascii="宋体" w:hAnsi="宋体" w:cs="宋体"/>
          <w:b/>
          <w:bCs/>
          <w:i/>
          <w:iCs/>
          <w:color w:val="000000" w:themeColor="text1"/>
          <w:szCs w:val="21"/>
          <w:u w:val="single"/>
          <w14:textFill>
            <w14:solidFill>
              <w14:schemeClr w14:val="tx1"/>
            </w14:solidFill>
          </w14:textFill>
        </w:rPr>
        <w:t>成交供应商不得将工程及其他内容进行转包或分包</w:t>
      </w:r>
      <w:r>
        <w:rPr>
          <w:rFonts w:hint="eastAsia" w:ascii="宋体" w:hAnsi="宋体" w:cs="宋体"/>
          <w:bCs/>
          <w:color w:val="000000" w:themeColor="text1"/>
          <w:szCs w:val="21"/>
          <w14:textFill>
            <w14:solidFill>
              <w14:schemeClr w14:val="tx1"/>
            </w14:solidFill>
          </w14:textFill>
        </w:rPr>
        <w:t>。未经采购人同意，成交供应商也不得采用分包的形式履行合同，否则采购人有权终止合同，成交供应商的履约保证金将不予退还。转包或分包造成采购人损失的，成交供应商应承担赔偿责任。</w:t>
      </w:r>
    </w:p>
    <w:p w14:paraId="34C9DE7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4E4C9F25">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32、其他</w:t>
      </w:r>
    </w:p>
    <w:p w14:paraId="7E2647D6">
      <w:pPr>
        <w:adjustRightInd w:val="0"/>
        <w:snapToGrid w:val="0"/>
        <w:spacing w:line="360" w:lineRule="auto"/>
        <w:ind w:firstLine="420" w:firstLineChars="200"/>
        <w:rPr>
          <w:rFonts w:ascii="宋体" w:hAnsi="宋体" w:cs="宋体"/>
          <w:color w:val="000000" w:themeColor="text1"/>
          <w14:textFill>
            <w14:solidFill>
              <w14:schemeClr w14:val="tx1"/>
            </w14:solidFill>
          </w14:textFill>
        </w:rPr>
      </w:pPr>
      <w:bookmarkStart w:id="29" w:name="_Toc107582398"/>
      <w:r>
        <w:rPr>
          <w:rFonts w:hint="eastAsia" w:ascii="宋体" w:hAnsi="宋体" w:cs="宋体"/>
          <w:color w:val="000000" w:themeColor="text1"/>
          <w:szCs w:val="21"/>
          <w14:textFill>
            <w14:solidFill>
              <w14:schemeClr w14:val="tx1"/>
            </w14:solidFill>
          </w14:textFill>
        </w:rPr>
        <w:t>32.1依据《政府采购促进中小企业发展管理办法》享受扶持政策获得政府采购合同的，小微企业不得将合同分包给大中型企业，中型企业不得将合同分包给大型企业</w:t>
      </w:r>
      <w:bookmarkStart w:id="30" w:name="_Toc50734661"/>
      <w:bookmarkEnd w:id="30"/>
      <w:r>
        <w:rPr>
          <w:rFonts w:hint="eastAsia" w:ascii="宋体" w:hAnsi="宋体" w:cs="宋体"/>
          <w:color w:val="000000" w:themeColor="text1"/>
          <w:szCs w:val="21"/>
          <w14:textFill>
            <w14:solidFill>
              <w14:schemeClr w14:val="tx1"/>
            </w14:solidFill>
          </w14:textFill>
        </w:rPr>
        <w:t>。</w:t>
      </w:r>
    </w:p>
    <w:p w14:paraId="03DA063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32.2</w:t>
      </w:r>
      <w:r>
        <w:rPr>
          <w:rFonts w:hint="eastAsia" w:ascii="宋体" w:hAnsi="宋体" w:cs="宋体"/>
          <w:b/>
          <w:bCs/>
          <w:color w:val="000000" w:themeColor="text1"/>
          <w14:textFill>
            <w14:solidFill>
              <w14:schemeClr w14:val="tx1"/>
            </w14:solidFill>
          </w14:textFill>
        </w:rPr>
        <w:t>本项目收取履约保证金</w:t>
      </w:r>
      <w:r>
        <w:rPr>
          <w:rFonts w:hint="eastAsia" w:ascii="宋体" w:hAnsi="宋体" w:cs="宋体"/>
          <w:color w:val="000000" w:themeColor="text1"/>
          <w14:textFill>
            <w14:solidFill>
              <w14:schemeClr w14:val="tx1"/>
            </w14:solidFill>
          </w14:textFill>
        </w:rPr>
        <w:t>：</w:t>
      </w:r>
    </w:p>
    <w:p w14:paraId="336641CC">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31.2.1履约保证金的金额为成交价的10%，</w:t>
      </w:r>
      <w:r>
        <w:rPr>
          <w:rFonts w:hint="eastAsia" w:ascii="宋体" w:hAnsi="宋体" w:cs="宋体"/>
          <w:color w:val="000000" w:themeColor="text1"/>
          <w:szCs w:val="21"/>
          <w14:textFill>
            <w14:solidFill>
              <w14:schemeClr w14:val="tx1"/>
            </w14:solidFill>
          </w14:textFill>
        </w:rPr>
        <w:t>履约担保可以采用银行保函或现金、支票、电子履约保函（保险）、担保等形式。采用银行保函时，出具保函的银行级别：国有商业银行或股份制商业银行的分行及其以上银行。出具电子履约保函（保险）：具体要求详见关于在全省政府采购领域推行电子履约保函（保险）的通知（苏财购【2023】150号）。</w:t>
      </w:r>
      <w:r>
        <w:rPr>
          <w:rFonts w:hint="eastAsia" w:ascii="宋体" w:hAnsi="宋体" w:cs="宋体"/>
          <w:color w:val="000000" w:themeColor="text1"/>
          <w14:textFill>
            <w14:solidFill>
              <w14:schemeClr w14:val="tx1"/>
            </w14:solidFill>
          </w14:textFill>
        </w:rPr>
        <w:t>在成交合同签订前向采购人缴纳或提交，未按规定缴纳或提交履约保证金的视为放弃中标。</w:t>
      </w:r>
    </w:p>
    <w:p w14:paraId="043E2D30">
      <w:pPr>
        <w:tabs>
          <w:tab w:val="left" w:pos="992"/>
          <w:tab w:val="left" w:pos="1133"/>
        </w:tabs>
        <w:spacing w:line="360" w:lineRule="auto"/>
        <w:ind w:firstLine="525" w:firstLineChars="25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31.2.2 履约保证金用以约束乙方在合同履行中的行为，以及弥补合同履行中由于乙方自身行为可能给甲方带来的各种损失；若履约保证金额不足以弥补乙方违约造成甲方损失的，甲方可继续向乙方主张索赔。</w:t>
      </w:r>
    </w:p>
    <w:p w14:paraId="3E747028">
      <w:pPr>
        <w:tabs>
          <w:tab w:val="left" w:pos="992"/>
          <w:tab w:val="left" w:pos="1133"/>
        </w:tabs>
        <w:spacing w:line="360" w:lineRule="auto"/>
        <w:ind w:firstLine="525" w:firstLineChars="250"/>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32.2.3</w:t>
      </w:r>
      <w:r>
        <w:rPr>
          <w:rFonts w:hint="eastAsia" w:ascii="宋体" w:hAnsi="宋体" w:cs="宋体"/>
          <w:color w:val="000000" w:themeColor="text1"/>
          <w:lang w:val="zh-CN"/>
          <w14:textFill>
            <w14:solidFill>
              <w14:schemeClr w14:val="tx1"/>
            </w14:solidFill>
          </w14:textFill>
        </w:rPr>
        <w:t>履约保证金的退还：合同履行结束后，承包人凭发包人签署的项目验收单或项目验收报告，向</w:t>
      </w:r>
      <w:r>
        <w:rPr>
          <w:rFonts w:hint="eastAsia" w:ascii="宋体" w:hAnsi="宋体" w:cs="宋体"/>
          <w:color w:val="000000" w:themeColor="text1"/>
          <w14:textFill>
            <w14:solidFill>
              <w14:schemeClr w14:val="tx1"/>
            </w14:solidFill>
          </w14:textFill>
        </w:rPr>
        <w:t>发包人</w:t>
      </w:r>
      <w:r>
        <w:rPr>
          <w:rFonts w:hint="eastAsia" w:ascii="宋体" w:hAnsi="宋体" w:cs="宋体"/>
          <w:color w:val="000000" w:themeColor="text1"/>
          <w:lang w:val="zh-CN"/>
          <w14:textFill>
            <w14:solidFill>
              <w14:schemeClr w14:val="tx1"/>
            </w14:solidFill>
          </w14:textFill>
        </w:rPr>
        <w:t>提请办理履约保证金退还手续，</w:t>
      </w:r>
      <w:r>
        <w:rPr>
          <w:rFonts w:hint="eastAsia" w:ascii="宋体" w:hAnsi="宋体" w:cs="宋体"/>
          <w:color w:val="000000" w:themeColor="text1"/>
          <w14:textFill>
            <w14:solidFill>
              <w14:schemeClr w14:val="tx1"/>
            </w14:solidFill>
          </w14:textFill>
        </w:rPr>
        <w:t>发包人</w:t>
      </w:r>
      <w:r>
        <w:rPr>
          <w:rFonts w:hint="eastAsia" w:ascii="宋体" w:hAnsi="宋体" w:cs="宋体"/>
          <w:color w:val="000000" w:themeColor="text1"/>
          <w:lang w:val="zh-CN"/>
          <w14:textFill>
            <w14:solidFill>
              <w14:schemeClr w14:val="tx1"/>
            </w14:solidFill>
          </w14:textFill>
        </w:rPr>
        <w:t>在收到提请后十五日内以非现金形式予以退还，逾期退还的，按中国人民银行同期贷款基准利率支付超期资金占用费，但因承包人自身原因导致无法及时退还的除外。</w:t>
      </w:r>
    </w:p>
    <w:p w14:paraId="60C3C063">
      <w:pPr>
        <w:tabs>
          <w:tab w:val="left" w:pos="992"/>
          <w:tab w:val="left" w:pos="1133"/>
        </w:tabs>
        <w:spacing w:line="360" w:lineRule="auto"/>
        <w:ind w:firstLine="525" w:firstLineChars="250"/>
        <w:rPr>
          <w:rFonts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32.2.4履约保证金不予退还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w:t>
      </w:r>
      <w:r>
        <w:rPr>
          <w:rFonts w:hint="eastAsia" w:hAnsi="宋体"/>
          <w:color w:val="000000" w:themeColor="text1"/>
          <w14:textFill>
            <w14:solidFill>
              <w14:schemeClr w14:val="tx1"/>
            </w14:solidFill>
          </w14:textFill>
        </w:rPr>
        <w:t>证金中取得补偿。履约保证金扣除发包人应得的补偿后余额在上述规定时间内退还给承包人。</w:t>
      </w:r>
    </w:p>
    <w:p w14:paraId="387A02A1">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32.3 政府采购履约验收</w:t>
      </w:r>
    </w:p>
    <w:p w14:paraId="06472A9D">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32.3.1根据江苏省财政厅关于印发《江苏省政府采购履约验收管理办法》的通知【苏财规（2024）7号】的要求，采购人使用财政性资金采购政府集中采购目录以内或者限额标准以上的货物、工程和服务的政府采购项目须履约验收，供应商应当按照政府采购合同的约定，配合采购人或其委托的采购代理机构做好项目验收，提供与验收相关的生产、技术、服务、数量、质量、安全等资料，根据实际需要做好技术说明、测试演示或场景应用情况分析等工作，并对所提供资料和材料的真实性负责。</w:t>
      </w:r>
    </w:p>
    <w:p w14:paraId="67484649">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32.3.2政府采购合同约定的履约验收条件达到时，采购人应当在 5 个工作日内启动履约验收工作，并向供应商发出《政府采购履约验收通知单》，供应商可以主动联系采购人启动履约验收工作。</w:t>
      </w:r>
    </w:p>
    <w:p w14:paraId="1773E9F8">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32.3.3、采购人、供应商应当对验收小组出具的验收意见进行确认，并形成政府采购履约验收书《政府采购履约验收书》。</w:t>
      </w:r>
    </w:p>
    <w:p w14:paraId="492BEADE">
      <w:pPr>
        <w:tabs>
          <w:tab w:val="left" w:pos="992"/>
          <w:tab w:val="left" w:pos="1133"/>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35AA5F49">
      <w:pPr>
        <w:adjustRightInd w:val="0"/>
        <w:spacing w:line="360" w:lineRule="auto"/>
        <w:ind w:firstLine="643" w:firstLineChars="200"/>
        <w:jc w:val="center"/>
        <w:rPr>
          <w:rFonts w:ascii="宋体" w:hAnsi="宋体" w:cs="宋体"/>
          <w:color w:val="000000" w:themeColor="text1"/>
          <w14:textFill>
            <w14:solidFill>
              <w14:schemeClr w14:val="tx1"/>
            </w14:solidFill>
          </w14:textFill>
        </w:rPr>
      </w:pPr>
      <w:r>
        <w:rPr>
          <w:rFonts w:hint="eastAsia" w:ascii="宋体" w:hAnsi="宋体" w:cs="宋体"/>
          <w:b/>
          <w:bCs/>
          <w:color w:val="000000" w:themeColor="text1"/>
          <w:kern w:val="44"/>
          <w:sz w:val="32"/>
          <w:szCs w:val="32"/>
          <w14:textFill>
            <w14:solidFill>
              <w14:schemeClr w14:val="tx1"/>
            </w14:solidFill>
          </w14:textFill>
        </w:rPr>
        <w:t>第三章 合同条款及格式</w:t>
      </w:r>
      <w:bookmarkEnd w:id="29"/>
    </w:p>
    <w:p w14:paraId="178E1754">
      <w:pPr>
        <w:tabs>
          <w:tab w:val="left" w:pos="992"/>
          <w:tab w:val="left" w:pos="1133"/>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建设工程施工合同采用合同示范文本（GF—2017—0201）。</w:t>
      </w:r>
    </w:p>
    <w:p w14:paraId="5C7F9C14">
      <w:pPr>
        <w:tabs>
          <w:tab w:val="left" w:pos="992"/>
          <w:tab w:val="left" w:pos="1133"/>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（一）协议书</w:t>
      </w:r>
    </w:p>
    <w:p w14:paraId="48BBFA5C">
      <w:pPr>
        <w:tabs>
          <w:tab w:val="left" w:pos="992"/>
          <w:tab w:val="left" w:pos="1133"/>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（二）通用条款</w:t>
      </w:r>
    </w:p>
    <w:p w14:paraId="485A2B89">
      <w:pPr>
        <w:tabs>
          <w:tab w:val="left" w:pos="992"/>
          <w:tab w:val="left" w:pos="1133"/>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（三）专用条款</w:t>
      </w:r>
    </w:p>
    <w:p w14:paraId="0BBAD384">
      <w:pPr>
        <w:tabs>
          <w:tab w:val="left" w:pos="992"/>
          <w:tab w:val="left" w:pos="1133"/>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（四）主要条款</w:t>
      </w:r>
    </w:p>
    <w:p w14:paraId="12927C79">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1、工期</w:t>
      </w:r>
    </w:p>
    <w:p w14:paraId="6DE72A79">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本工程的工期见采购文件，工期延误每延误一天按2000元/天罚款，最多不得超过合同工期后一个月，否则采购人有权终止合同。工期延误赔偿限额为合同价的10%，具体开工日期以甲方开工令为准。</w:t>
      </w:r>
    </w:p>
    <w:p w14:paraId="68B84F66">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2、质量</w:t>
      </w:r>
    </w:p>
    <w:p w14:paraId="702C7985">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要求工程质量一次性验收达到合格。乙方如因工程质量达不到约定标准，导致返工，乙方除承担相应的返工费用外，还应承担相应合同价的10%的罚款。施工过程中出现质量问题所造成的一切经济损失由乙方负责。</w:t>
      </w:r>
    </w:p>
    <w:p w14:paraId="3931883D">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3、材料设备供应</w:t>
      </w:r>
    </w:p>
    <w:p w14:paraId="14220114">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本工程材料：部分材料保留甲控乙供的权力，本工程所有材料价格均为固定价，不考虑任何施工因素及市场价格因素；</w:t>
      </w:r>
    </w:p>
    <w:p w14:paraId="3365390B">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本项目为固定单价合同，竣工结算均按原投标单价执行。</w:t>
      </w:r>
    </w:p>
    <w:p w14:paraId="7AA4E1E6">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4、履约保证金：</w:t>
      </w:r>
      <w:r>
        <w:rPr>
          <w:rFonts w:hint="eastAsia" w:ascii="宋体" w:hAnsi="宋体" w:cs="宋体"/>
          <w:b/>
          <w:bCs/>
          <w:color w:val="000000" w:themeColor="text1"/>
          <w14:textFill>
            <w14:solidFill>
              <w14:schemeClr w14:val="tx1"/>
            </w14:solidFill>
          </w14:textFill>
        </w:rPr>
        <w:t>本项目收取履约保证金。</w:t>
      </w:r>
    </w:p>
    <w:p w14:paraId="27389425">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4.1 履约保证金的金额为成交价的10%，履约担保可以采用银行保函或现金、支票、电子履约保函（保险）、担保等形式。采用银行保函时，出具保函的银行级别：国有商业银行或股份制商业银行的分行及其以上银行。出具电子履约保函（保险）：具体要求详见关于在全省政府采购领域推行电子履约保函（保险）的通知（苏财购【2023】150号）。在成交合同签订前向采购人缴纳或提交，未按规定缴纳或提交履约保证金的视为放弃中标。</w:t>
      </w:r>
    </w:p>
    <w:p w14:paraId="2DD724B2">
      <w:pPr>
        <w:tabs>
          <w:tab w:val="left" w:pos="992"/>
          <w:tab w:val="left" w:pos="1133"/>
        </w:tabs>
        <w:spacing w:line="360" w:lineRule="auto"/>
        <w:ind w:firstLine="420" w:firstLineChars="200"/>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4.2</w:t>
      </w:r>
      <w:r>
        <w:rPr>
          <w:rFonts w:hint="eastAsia" w:ascii="宋体" w:hAnsi="宋体" w:cs="宋体"/>
          <w:color w:val="000000" w:themeColor="text1"/>
          <w:lang w:val="zh-CN"/>
          <w14:textFill>
            <w14:solidFill>
              <w14:schemeClr w14:val="tx1"/>
            </w14:solidFill>
          </w14:textFill>
        </w:rPr>
        <w:t>履约保证金的退还：合同履行结束后，承包人凭发包人签署的项目验收单或项目验收报告，向</w:t>
      </w:r>
      <w:r>
        <w:rPr>
          <w:rFonts w:hint="eastAsia" w:ascii="宋体" w:hAnsi="宋体" w:cs="宋体"/>
          <w:color w:val="000000" w:themeColor="text1"/>
          <w14:textFill>
            <w14:solidFill>
              <w14:schemeClr w14:val="tx1"/>
            </w14:solidFill>
          </w14:textFill>
        </w:rPr>
        <w:t>发包人</w:t>
      </w:r>
      <w:r>
        <w:rPr>
          <w:rFonts w:hint="eastAsia" w:ascii="宋体" w:hAnsi="宋体" w:cs="宋体"/>
          <w:color w:val="000000" w:themeColor="text1"/>
          <w:lang w:val="zh-CN"/>
          <w14:textFill>
            <w14:solidFill>
              <w14:schemeClr w14:val="tx1"/>
            </w14:solidFill>
          </w14:textFill>
        </w:rPr>
        <w:t>提请办理履约保证金退还手续，</w:t>
      </w:r>
      <w:r>
        <w:rPr>
          <w:rFonts w:hint="eastAsia" w:ascii="宋体" w:hAnsi="宋体" w:cs="宋体"/>
          <w:color w:val="000000" w:themeColor="text1"/>
          <w14:textFill>
            <w14:solidFill>
              <w14:schemeClr w14:val="tx1"/>
            </w14:solidFill>
          </w14:textFill>
        </w:rPr>
        <w:t>发包人</w:t>
      </w:r>
      <w:r>
        <w:rPr>
          <w:rFonts w:hint="eastAsia" w:ascii="宋体" w:hAnsi="宋体" w:cs="宋体"/>
          <w:color w:val="000000" w:themeColor="text1"/>
          <w:lang w:val="zh-CN"/>
          <w14:textFill>
            <w14:solidFill>
              <w14:schemeClr w14:val="tx1"/>
            </w14:solidFill>
          </w14:textFill>
        </w:rPr>
        <w:t>在收到提请后十五日内以非现金形式予以退还，逾期退还的，按中国人民银行同期贷款基准利率支付超期资金占用费，但因承包人自身原因导致无法及时退还的除外。</w:t>
      </w:r>
    </w:p>
    <w:p w14:paraId="4BF498A8">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4.3履约保证金不予退还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p>
    <w:p w14:paraId="2264174F">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5、工程付款</w:t>
      </w:r>
    </w:p>
    <w:p w14:paraId="44C35440">
      <w:pPr>
        <w:tabs>
          <w:tab w:val="left" w:pos="992"/>
          <w:tab w:val="left" w:pos="1133"/>
        </w:tabs>
        <w:spacing w:line="360" w:lineRule="auto"/>
        <w:ind w:firstLine="422" w:firstLineChars="200"/>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工程竣工验收合格后付至合同价的70%，审计后付至审定价的100%，在付清余款前需缴纳审计价的3%至菱塘回族乡财政账户作为质保金或3%的质量保证金保函等形式，保修期满后一次性退还，工程款不计息。</w:t>
      </w:r>
    </w:p>
    <w:p w14:paraId="190997DF">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6、变更结算方式</w:t>
      </w:r>
    </w:p>
    <w:p w14:paraId="7367B811">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变更结算调整方法：以图纸设计变更和采购人要求变更为依据，只调整变更部分，变更费用按投标让利幅度同等让利[投标让利幅度=1-投标报价/采购人预算价]。</w:t>
      </w:r>
    </w:p>
    <w:p w14:paraId="5723AB46">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风险范围以外合同价款调整方法：</w:t>
      </w:r>
    </w:p>
    <w:p w14:paraId="3067DB95">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⑴ 由工程设计变更或采购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p>
    <w:p w14:paraId="289B83A8">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⑵新增零星工程以实际签证为准，其价格由承包人提出，并经发包人认可后作为结算的依据。让利按投标时让利幅度同等让利[投标让利幅度=1-投标报价/采购人预算价]。</w:t>
      </w:r>
    </w:p>
    <w:p w14:paraId="7ACFC5E4">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⑶附属工程的工程量按实结算，让利幅度同投标让利幅度。</w:t>
      </w:r>
    </w:p>
    <w:p w14:paraId="3B41B554">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7、保修</w:t>
      </w:r>
    </w:p>
    <w:p w14:paraId="7A04AF20">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保修按国家有关规定执行。</w:t>
      </w:r>
    </w:p>
    <w:p w14:paraId="53D96F12">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8、分包规定</w:t>
      </w:r>
    </w:p>
    <w:p w14:paraId="482BDB6E">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本工程不得进行分包，如承包人擅自将工程全部或其中的一部分转包或分包给其它单位，发包人有权终止合同，由此造成的一切损失由承包人承担。投标人拟将部分非主体工程分包的，应在响应文件中载明。</w:t>
      </w:r>
    </w:p>
    <w:p w14:paraId="62F81B1D">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9、违约责任</w:t>
      </w:r>
    </w:p>
    <w:p w14:paraId="179FDC3E">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甲乙双方如发生违约纠纷，应在分清责任的前提下，协商解决，如实在无法协商，可提请高邮市人民法院诉讼。违约责任详见专用条款。</w:t>
      </w:r>
    </w:p>
    <w:p w14:paraId="3A703C18">
      <w:pPr>
        <w:spacing w:line="360" w:lineRule="auto"/>
        <w:ind w:firstLine="457" w:firstLineChars="218"/>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双方约定的承包人其他违约责任：</w:t>
      </w:r>
      <w:r>
        <w:rPr>
          <w:rFonts w:hint="eastAsia" w:ascii="宋体" w:hAnsi="宋体" w:cs="宋体"/>
          <w:b/>
          <w:bCs/>
          <w:color w:val="000000" w:themeColor="text1"/>
          <w:szCs w:val="21"/>
          <w14:textFill>
            <w14:solidFill>
              <w14:schemeClr w14:val="tx1"/>
            </w14:solidFill>
          </w14:textFill>
        </w:rPr>
        <w:t>承包人明确表示或者以其行为表明不履行合同主要义务的，发包人有权解除合同。承包人除赔偿发包人的损失外，另按工程总价的5%支付违约金。</w:t>
      </w:r>
    </w:p>
    <w:p w14:paraId="3043C085">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10、设计变更</w:t>
      </w:r>
    </w:p>
    <w:p w14:paraId="505BABD1">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⑴施工期间，建设单位设计变更通知是合同及施工设计图纸的补充和完善，承包人不得拒绝。</w:t>
      </w:r>
    </w:p>
    <w:p w14:paraId="064475BE">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⑵由于工程设计变更导致本合同工程量增减变化时，是对合同价款增减调整的依据。</w:t>
      </w:r>
    </w:p>
    <w:p w14:paraId="29B3B244">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⑶承包人不得以设计变更或工程量的变化为理由，解除或修改合同对其规定的责任和义务。</w:t>
      </w:r>
    </w:p>
    <w:p w14:paraId="36BC5E12">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11、其他</w:t>
      </w:r>
    </w:p>
    <w:p w14:paraId="16AC252E">
      <w:pPr>
        <w:pStyle w:val="48"/>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（1）承包人应按江苏省和扬州市的有关安全文明施工规定进行施工。</w:t>
      </w:r>
    </w:p>
    <w:p w14:paraId="0E2BB81C">
      <w:pPr>
        <w:pStyle w:val="48"/>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2）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赔偿损失。</w:t>
      </w:r>
    </w:p>
    <w:p w14:paraId="1D11255C">
      <w:pPr>
        <w:pStyle w:val="48"/>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（3）乙方负责本工程施工过程中的所有安全生产责任，如发生安全事故与发包人无关。</w:t>
      </w:r>
    </w:p>
    <w:p w14:paraId="29903F0B">
      <w:pPr>
        <w:pStyle w:val="48"/>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（4）本工程要求承包人合理施工，协调周边关系、噪音污染防治等工作由承包方负责。</w:t>
      </w:r>
    </w:p>
    <w:p w14:paraId="72FCAE61">
      <w:pPr>
        <w:pStyle w:val="48"/>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5）承包人必须为从事高空、危险作业的职工以及劳动部门规定范围的职工办理意外伤害保险。对于承包人所派出的人员（无论是否其正式工）因任何原因所受任何伤害导致任何赔偿或补偿责任均由承包人负责，发包人概不承担；承包人应保障发包人免于承担与此有关的所有索赔、诉讼、费用及任何开支。保险除外责任、免赔额、保险范围以外因承包人或本工程原因发生的损失或责任均由承包人承担。发包人不因投保不足或任何其他原因承担、也不代承包人承担任何责任。</w:t>
      </w:r>
    </w:p>
    <w:p w14:paraId="1607932B">
      <w:pPr>
        <w:pStyle w:val="48"/>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（6）在保修期内施工方承诺无条件承担工程质量保修责任：因质量问题返工、返修产生的一切责任和费用均由施工方负责；因建设方责任所引起的质量问题返工、返修，施工方有权向建设方收取适当的工本费。</w:t>
      </w:r>
    </w:p>
    <w:p w14:paraId="09E822B8">
      <w:pPr>
        <w:pStyle w:val="48"/>
        <w:spacing w:line="360" w:lineRule="auto"/>
        <w:ind w:firstLine="422" w:firstLineChars="200"/>
        <w:rPr>
          <w:rFonts w:ascii="宋体" w:hAnsi="宋体" w:cs="宋体"/>
          <w:b/>
          <w:bCs/>
          <w:color w:val="000000" w:themeColor="text1"/>
          <w:kern w:val="2"/>
          <w:szCs w:val="22"/>
          <w:lang w:val="zh-CN"/>
          <w14:textFill>
            <w14:solidFill>
              <w14:schemeClr w14:val="tx1"/>
            </w14:solidFill>
          </w14:textFill>
        </w:rPr>
      </w:pPr>
      <w:r>
        <w:rPr>
          <w:rFonts w:hint="eastAsia" w:ascii="宋体" w:hAnsi="宋体" w:cs="宋体"/>
          <w:b/>
          <w:bCs/>
          <w:color w:val="000000" w:themeColor="text1"/>
          <w:kern w:val="2"/>
          <w:szCs w:val="22"/>
          <w:lang w:val="zh-CN"/>
          <w14:textFill>
            <w14:solidFill>
              <w14:schemeClr w14:val="tx1"/>
            </w14:solidFill>
          </w14:textFill>
        </w:rPr>
        <w:t>（7）结算总价应依据工程量及有关规定报送，若结算审计核减额度大于10% ，审计费用</w:t>
      </w:r>
      <w:r>
        <w:rPr>
          <w:rFonts w:hint="eastAsia" w:ascii="宋体" w:hAnsi="宋体" w:cs="宋体"/>
          <w:b/>
          <w:bCs/>
          <w:color w:val="000000" w:themeColor="text1"/>
          <w:kern w:val="2"/>
          <w:szCs w:val="22"/>
          <w14:textFill>
            <w14:solidFill>
              <w14:schemeClr w14:val="tx1"/>
            </w14:solidFill>
          </w14:textFill>
        </w:rPr>
        <w:t>全部</w:t>
      </w:r>
      <w:r>
        <w:rPr>
          <w:rFonts w:hint="eastAsia" w:ascii="宋体" w:hAnsi="宋体" w:cs="宋体"/>
          <w:b/>
          <w:bCs/>
          <w:color w:val="000000" w:themeColor="text1"/>
          <w:kern w:val="2"/>
          <w:szCs w:val="22"/>
          <w:lang w:val="zh-CN"/>
          <w14:textFill>
            <w14:solidFill>
              <w14:schemeClr w14:val="tx1"/>
            </w14:solidFill>
          </w14:textFill>
        </w:rPr>
        <w:t>由乙方承担。</w:t>
      </w:r>
    </w:p>
    <w:p w14:paraId="278ACA3D">
      <w:pPr>
        <w:pStyle w:val="48"/>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（8）工程所用材料、设备进场前需报发包人认可，经发包人书面同意后方可进场使用。</w:t>
      </w:r>
    </w:p>
    <w:p w14:paraId="0B6AE4F9">
      <w:pPr>
        <w:pStyle w:val="48"/>
        <w:spacing w:line="360" w:lineRule="auto"/>
        <w:ind w:firstLine="420" w:firstLineChars="200"/>
        <w:rPr>
          <w:rFonts w:ascii="宋体" w:hAnsi="宋体" w:cs="宋体"/>
          <w:color w:val="000000" w:themeColor="text1"/>
          <w:kern w:val="2"/>
          <w:szCs w:val="22"/>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9）工程承包单位对涉及真实使用《绿色建筑和绿色建材政府采购需求标准》中的绿色建材的，应当全部采购和使用符合《绿色建筑和绿色建材政府采购需求标准》的绿色建材，并提供绿色建材供应商符合《绿色建筑和绿色建材政府采购需求标准》相关指标要求的绿色建材检测报告或提供符合《绿色建筑和绿色建材政府采购需求标准》相关指标的绿色建材产品认证证书。</w:t>
      </w:r>
    </w:p>
    <w:p w14:paraId="1C479F92">
      <w:pPr>
        <w:pStyle w:val="48"/>
        <w:spacing w:line="360" w:lineRule="auto"/>
        <w:rPr>
          <w:rFonts w:ascii="宋体" w:hAnsi="宋体" w:cs="宋体"/>
          <w:color w:val="000000" w:themeColor="text1"/>
          <w:kern w:val="2"/>
          <w:szCs w:val="22"/>
          <w14:textFill>
            <w14:solidFill>
              <w14:schemeClr w14:val="tx1"/>
            </w14:solidFill>
          </w14:textFill>
        </w:rPr>
        <w:sectPr>
          <w:footerReference r:id="rId8" w:type="first"/>
          <w:footerReference r:id="rId7" w:type="default"/>
          <w:pgSz w:w="11906" w:h="16838"/>
          <w:pgMar w:top="1417" w:right="1701" w:bottom="1417" w:left="1701" w:header="851" w:footer="992" w:gutter="0"/>
          <w:pgNumType w:start="1"/>
          <w:cols w:space="720" w:num="1"/>
          <w:docGrid w:linePitch="360" w:charSpace="0"/>
        </w:sectPr>
      </w:pPr>
    </w:p>
    <w:p w14:paraId="7BAB6A24">
      <w:pPr>
        <w:pStyle w:val="3"/>
        <w:spacing w:line="360" w:lineRule="auto"/>
        <w:jc w:val="center"/>
        <w:rPr>
          <w:rFonts w:ascii="宋体" w:hAnsi="宋体" w:cs="宋体"/>
          <w:color w:val="000000" w:themeColor="text1"/>
          <w:sz w:val="32"/>
          <w:szCs w:val="32"/>
          <w14:textFill>
            <w14:solidFill>
              <w14:schemeClr w14:val="tx1"/>
            </w14:solidFill>
          </w14:textFill>
        </w:rPr>
      </w:pPr>
      <w:bookmarkStart w:id="31" w:name="_Toc109304974"/>
      <w:r>
        <w:rPr>
          <w:rFonts w:hint="eastAsia" w:ascii="宋体" w:hAnsi="宋体" w:cs="宋体"/>
          <w:color w:val="000000" w:themeColor="text1"/>
          <w:sz w:val="32"/>
          <w:szCs w:val="32"/>
          <w14:textFill>
            <w14:solidFill>
              <w14:schemeClr w14:val="tx1"/>
            </w14:solidFill>
          </w14:textFill>
        </w:rPr>
        <w:t>第四章 项目需求</w:t>
      </w:r>
      <w:bookmarkEnd w:id="31"/>
    </w:p>
    <w:bookmarkEnd w:id="1"/>
    <w:p w14:paraId="7327B89B">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一、项目概况</w:t>
      </w:r>
    </w:p>
    <w:p w14:paraId="7EB801DD">
      <w:pPr>
        <w:adjustRightInd w:val="0"/>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1、本项目预算价为397.86万元，</w:t>
      </w:r>
      <w:r>
        <w:rPr>
          <w:rFonts w:hint="eastAsia" w:ascii="宋体" w:hAnsi="宋体" w:cs="宋体"/>
          <w:color w:val="000000" w:themeColor="text1"/>
          <w:szCs w:val="21"/>
          <w14:textFill>
            <w14:solidFill>
              <w14:schemeClr w14:val="tx1"/>
            </w14:solidFill>
          </w14:textFill>
        </w:rPr>
        <w:t>最高限价：358.07万元</w:t>
      </w:r>
      <w:r>
        <w:rPr>
          <w:rFonts w:hint="eastAsia" w:ascii="宋体" w:hAnsi="宋体" w:cs="宋体"/>
          <w:color w:val="000000" w:themeColor="text1"/>
          <w:spacing w:val="-1"/>
          <w14:textFill>
            <w14:solidFill>
              <w14:schemeClr w14:val="tx1"/>
            </w14:solidFill>
          </w14:textFill>
        </w:rPr>
        <w:t>（报价高于最高限价的为无效投标）</w:t>
      </w:r>
    </w:p>
    <w:p w14:paraId="75FB8D81">
      <w:pPr>
        <w:adjustRightInd w:val="0"/>
        <w:spacing w:line="360" w:lineRule="auto"/>
        <w:ind w:firstLine="420" w:firstLineChars="200"/>
        <w:rPr>
          <w:rFonts w:ascii="宋体" w:hAnsi="宋体" w:cs="宋体"/>
          <w:color w:val="000000" w:themeColor="text1"/>
          <w:spacing w:val="-1"/>
          <w14:textFill>
            <w14:solidFill>
              <w14:schemeClr w14:val="tx1"/>
            </w14:solidFill>
          </w14:textFill>
        </w:rPr>
      </w:pPr>
      <w:r>
        <w:rPr>
          <w:rFonts w:hint="eastAsia" w:ascii="宋体" w:hAnsi="宋体" w:cs="宋体"/>
          <w:color w:val="000000" w:themeColor="text1"/>
          <w14:textFill>
            <w14:solidFill>
              <w14:schemeClr w14:val="tx1"/>
            </w14:solidFill>
          </w14:textFill>
        </w:rPr>
        <w:t>2、项目主要实施内容：</w:t>
      </w:r>
      <w:r>
        <w:rPr>
          <w:rFonts w:hint="eastAsia" w:ascii="宋体" w:hAnsi="宋体" w:cs="宋体"/>
          <w:color w:val="000000" w:themeColor="text1"/>
          <w:szCs w:val="21"/>
          <w14:textFill>
            <w14:solidFill>
              <w14:schemeClr w14:val="tx1"/>
            </w14:solidFill>
          </w14:textFill>
        </w:rPr>
        <w:t>新建1座连栋大棚约8000平方米和2座单体大棚约8800平方米，合计16800平方米，包括：大棚、室外排水设施施工等，</w:t>
      </w:r>
      <w:r>
        <w:rPr>
          <w:rFonts w:hint="eastAsia" w:ascii="宋体" w:hAnsi="宋体" w:cs="宋体"/>
          <w:color w:val="000000" w:themeColor="text1"/>
          <w14:textFill>
            <w14:solidFill>
              <w14:schemeClr w14:val="tx1"/>
            </w14:solidFill>
          </w14:textFill>
        </w:rPr>
        <w:t>具体施工内容详见图纸及工程量清单。</w:t>
      </w:r>
    </w:p>
    <w:p w14:paraId="61E97709">
      <w:pPr>
        <w:adjustRightInd w:val="0"/>
        <w:spacing w:line="360" w:lineRule="auto"/>
        <w:ind w:firstLine="416" w:firstLineChars="200"/>
        <w:rPr>
          <w:rFonts w:ascii="宋体" w:hAnsi="宋体" w:cs="宋体"/>
          <w:color w:val="000000" w:themeColor="text1"/>
          <w:spacing w:val="-1"/>
          <w14:textFill>
            <w14:solidFill>
              <w14:schemeClr w14:val="tx1"/>
            </w14:solidFill>
          </w14:textFill>
        </w:rPr>
      </w:pPr>
      <w:r>
        <w:rPr>
          <w:rFonts w:hint="eastAsia" w:ascii="宋体" w:hAnsi="宋体" w:cs="宋体"/>
          <w:color w:val="000000" w:themeColor="text1"/>
          <w:spacing w:val="-1"/>
          <w14:textFill>
            <w14:solidFill>
              <w14:schemeClr w14:val="tx1"/>
            </w14:solidFill>
          </w14:textFill>
        </w:rPr>
        <w:t>3、</w:t>
      </w:r>
      <w:r>
        <w:rPr>
          <w:rFonts w:hint="eastAsia" w:ascii="宋体" w:hAnsi="宋体" w:cs="宋体"/>
          <w:color w:val="000000" w:themeColor="text1"/>
          <w14:textFill>
            <w14:solidFill>
              <w14:schemeClr w14:val="tx1"/>
            </w14:solidFill>
          </w14:textFill>
        </w:rPr>
        <w:t>工程地点：高邮市菱塘回族乡菱塘村。</w:t>
      </w:r>
    </w:p>
    <w:p w14:paraId="0796D839">
      <w:pPr>
        <w:adjustRightInd w:val="0"/>
        <w:spacing w:line="360" w:lineRule="auto"/>
        <w:ind w:firstLine="416"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
          <w14:textFill>
            <w14:solidFill>
              <w14:schemeClr w14:val="tx1"/>
            </w14:solidFill>
          </w14:textFill>
        </w:rPr>
        <w:t>4、工期：90日历天</w:t>
      </w:r>
      <w:r>
        <w:rPr>
          <w:rFonts w:hint="eastAsia" w:ascii="宋体" w:hAnsi="宋体" w:cs="宋体"/>
          <w:color w:val="000000" w:themeColor="text1"/>
          <w:szCs w:val="21"/>
          <w14:textFill>
            <w14:solidFill>
              <w14:schemeClr w14:val="tx1"/>
            </w14:solidFill>
          </w14:textFill>
        </w:rPr>
        <w:t>，实际开工时间以采购人的通知为准。</w:t>
      </w:r>
    </w:p>
    <w:p w14:paraId="0DE2F032">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5、质量要求：合格</w:t>
      </w:r>
    </w:p>
    <w:p w14:paraId="6DAC6A7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6、本工程采用的技术规范</w:t>
      </w:r>
    </w:p>
    <w:p w14:paraId="4AC85D2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本工程施工中的工序验收、分部项工程验收、中间验收及竣工验收等按现行的有关施工及验收规范、质量检验评定标准执行；材料检验、试验按国家和地方颁布的技术规范、标准、规程执行。</w:t>
      </w:r>
    </w:p>
    <w:p w14:paraId="16F23DE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7、对材料的质量和试验要求</w:t>
      </w:r>
    </w:p>
    <w:p w14:paraId="5B34E62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所有工程中使用的材料、设备、成品、半成品等必须提供齐全的质量保证资料，并按现行的有关规定进行检验、试验；承包方必须主动按工程监理的程序向监理方报验，经监理方书面认可后方可用于工程。</w:t>
      </w:r>
    </w:p>
    <w:p w14:paraId="7681BA1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8、对施工工艺的特殊要求：按现行的国家和地方的规定及标准执行。</w:t>
      </w:r>
    </w:p>
    <w:p w14:paraId="7EED540C">
      <w:pPr>
        <w:adjustRightIn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9、施工做法：</w:t>
      </w:r>
      <w:r>
        <w:rPr>
          <w:rFonts w:hint="eastAsia" w:ascii="宋体" w:hAnsi="宋体"/>
          <w:color w:val="000000" w:themeColor="text1"/>
          <w:szCs w:val="21"/>
          <w14:textFill>
            <w14:solidFill>
              <w14:schemeClr w14:val="tx1"/>
            </w14:solidFill>
          </w14:textFill>
        </w:rPr>
        <w:t>根据图纸及招标清单进行施工。</w:t>
      </w:r>
    </w:p>
    <w:p w14:paraId="786E5A70">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二、工程量清单编制说明</w:t>
      </w:r>
    </w:p>
    <w:p w14:paraId="00DF7B8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报价应按照采购人提供的工程量清单的格式，不得改变工程量清单，不可竞争费用不得让利。供应商首轮报价应有详细的报价组成，不可竞争费用不得降低标准计取应按采购人提供的工程量清单及相关费用、费率报价。</w:t>
      </w:r>
      <w:r>
        <w:rPr>
          <w:rFonts w:hint="eastAsia" w:ascii="宋体" w:hAnsi="宋体" w:cs="宋体"/>
          <w:color w:val="000000" w:themeColor="text1"/>
          <w14:textFill>
            <w14:solidFill>
              <w14:schemeClr w14:val="tx1"/>
            </w14:solidFill>
          </w14:textFill>
        </w:rPr>
        <w:t>投标报价应是采购文件所确定的采购范围内相应设计图纸及相关资料的全部工作内容的价格体现。包括施工设备、劳务、管理、材料、安装、维护、利润、税金及政策性文件规定的各项应有费用等。供应商的投标报价，须使用工程量清单计价应用软件计价，</w:t>
      </w:r>
      <w:r>
        <w:rPr>
          <w:rFonts w:hint="eastAsia" w:ascii="宋体" w:hAnsi="宋体" w:cs="宋体"/>
          <w:i/>
          <w:iCs/>
          <w:color w:val="000000" w:themeColor="text1"/>
          <w:u w:val="single"/>
          <w14:textFill>
            <w14:solidFill>
              <w14:schemeClr w14:val="tx1"/>
            </w14:solidFill>
          </w14:textFill>
        </w:rPr>
        <w:t>提供已标价的工程量清单，清单中必须提供“</w:t>
      </w:r>
      <w:r>
        <w:rPr>
          <w:rFonts w:hint="eastAsia" w:ascii="宋体" w:hAnsi="宋体" w:cs="宋体"/>
          <w:b/>
          <w:bCs/>
          <w:i/>
          <w:iCs/>
          <w:color w:val="000000" w:themeColor="text1"/>
          <w:u w:val="single"/>
          <w14:textFill>
            <w14:solidFill>
              <w14:schemeClr w14:val="tx1"/>
            </w14:solidFill>
          </w14:textFill>
        </w:rPr>
        <w:t>综合单价分析表</w:t>
      </w:r>
      <w:r>
        <w:rPr>
          <w:rFonts w:hint="eastAsia" w:ascii="宋体" w:hAnsi="宋体" w:cs="宋体"/>
          <w:i/>
          <w:iCs/>
          <w:color w:val="000000" w:themeColor="text1"/>
          <w:u w:val="single"/>
          <w14:textFill>
            <w14:solidFill>
              <w14:schemeClr w14:val="tx1"/>
            </w14:solidFill>
          </w14:textFill>
        </w:rPr>
        <w:t>”</w:t>
      </w:r>
      <w:r>
        <w:rPr>
          <w:rFonts w:hint="eastAsia" w:ascii="宋体" w:hAnsi="宋体" w:cs="宋体"/>
          <w:color w:val="000000" w:themeColor="text1"/>
          <w14:textFill>
            <w14:solidFill>
              <w14:schemeClr w14:val="tx1"/>
            </w14:solidFill>
          </w14:textFill>
        </w:rPr>
        <w:t>。</w:t>
      </w:r>
    </w:p>
    <w:p w14:paraId="6C568E0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w:t>
      </w:r>
      <w:r>
        <w:rPr>
          <w:rFonts w:hint="eastAsia" w:ascii="宋体" w:hAnsi="宋体" w:cs="宋体"/>
          <w:i/>
          <w:iCs/>
          <w:color w:val="000000" w:themeColor="text1"/>
          <w:u w:val="single"/>
          <w14:textFill>
            <w14:solidFill>
              <w14:schemeClr w14:val="tx1"/>
            </w14:solidFill>
          </w14:textFill>
        </w:rPr>
        <w:t>响应文件不得改变或者遗漏工程量清单中分部分项工程量清单规定的项目编码、项目名称、项目特征、计量单位、工程量。</w:t>
      </w:r>
    </w:p>
    <w:p w14:paraId="4E99253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3、供应商应对清单中的每一个项目进行报价（包括综合单价及合价），如漏项或缺项，则视为其费用已含在其他项目的综合单价或合价中，结算时不再增加，</w:t>
      </w:r>
      <w:r>
        <w:rPr>
          <w:rFonts w:hint="eastAsia" w:ascii="宋体" w:hAnsi="宋体" w:cs="宋体"/>
          <w:color w:val="000000" w:themeColor="text1"/>
          <w:szCs w:val="21"/>
          <w:lang w:bidi="ar"/>
          <w14:textFill>
            <w14:solidFill>
              <w14:schemeClr w14:val="tx1"/>
            </w14:solidFill>
          </w14:textFill>
        </w:rPr>
        <w:t>由供应商自行承担</w:t>
      </w:r>
      <w:r>
        <w:rPr>
          <w:rFonts w:hint="eastAsia" w:ascii="宋体" w:hAnsi="宋体" w:cs="宋体"/>
          <w:color w:val="000000" w:themeColor="text1"/>
          <w14:textFill>
            <w14:solidFill>
              <w14:schemeClr w14:val="tx1"/>
            </w14:solidFill>
          </w14:textFill>
        </w:rPr>
        <w:t>。</w:t>
      </w:r>
    </w:p>
    <w:p w14:paraId="2BB24A9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4、投标报价方式</w:t>
      </w:r>
    </w:p>
    <w:p w14:paraId="79D728E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本工程采用</w:t>
      </w:r>
      <w:r>
        <w:rPr>
          <w:rFonts w:hint="eastAsia" w:ascii="宋体" w:hAnsi="宋体" w:cs="宋体"/>
          <w:b/>
          <w:bCs/>
          <w:color w:val="000000" w:themeColor="text1"/>
          <w:u w:val="single"/>
          <w14:textFill>
            <w14:solidFill>
              <w14:schemeClr w14:val="tx1"/>
            </w14:solidFill>
          </w14:textFill>
        </w:rPr>
        <w:t xml:space="preserve"> 固定单价 </w:t>
      </w:r>
      <w:r>
        <w:rPr>
          <w:rFonts w:hint="eastAsia" w:ascii="宋体" w:hAnsi="宋体" w:cs="宋体"/>
          <w:color w:val="000000" w:themeColor="text1"/>
          <w14:textFill>
            <w14:solidFill>
              <w14:schemeClr w14:val="tx1"/>
            </w14:solidFill>
          </w14:textFill>
        </w:rPr>
        <w:t>报价，</w:t>
      </w:r>
      <w:r>
        <w:rPr>
          <w:rFonts w:hint="eastAsia" w:ascii="宋体" w:hAnsi="宋体" w:cs="宋体"/>
          <w:iCs/>
          <w:color w:val="000000" w:themeColor="text1"/>
          <w14:textFill>
            <w14:solidFill>
              <w14:schemeClr w14:val="tx1"/>
            </w14:solidFill>
          </w14:textFill>
        </w:rPr>
        <w:t>本项目承包范围为采购文件、工程量清单、附件范围相关的内容</w:t>
      </w:r>
      <w:r>
        <w:rPr>
          <w:rFonts w:hint="eastAsia" w:ascii="宋体" w:hAnsi="宋体" w:cs="宋体"/>
          <w:color w:val="000000" w:themeColor="text1"/>
          <w14:textFill>
            <w14:solidFill>
              <w14:schemeClr w14:val="tx1"/>
            </w14:solidFill>
          </w14:textFill>
        </w:rPr>
        <w:t>。</w:t>
      </w:r>
    </w:p>
    <w:p w14:paraId="1630CBDE">
      <w:pPr>
        <w:adjustRightIn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考虑到本工程实际情况，投标人应对工程施工现场场地条件和周围环境进行勘察，以获取编制响应文件和签署合同所需的所有资料，勘察现场所发生的费用由投标人承担，在踏勘现场中所发生的人员伤亡和财产损失由投标人自行负责。</w:t>
      </w:r>
    </w:p>
    <w:p w14:paraId="3125D421">
      <w:pPr>
        <w:adjustRightInd w:val="0"/>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到现场实地勘踏，应充分了解工地位置、情况、道路、储存空间、装卸限制、相关专业施工队伍的配合与衔接及任何其他（包括且不限于：施工临时设施、脚手架及现场运输设备、施工现场因政府部门规定而造成的各种限制条件等等）足以影响承包价的情况，任何忽视或误解工地情况而导致的索赔或工期延长申请将不获得批准。</w:t>
      </w:r>
    </w:p>
    <w:p w14:paraId="67A6B48A">
      <w:pPr>
        <w:pStyle w:val="75"/>
        <w:spacing w:line="360" w:lineRule="auto"/>
        <w:ind w:firstLine="422"/>
        <w:rPr>
          <w:rFonts w:hAnsi="宋体" w:cs="宋体"/>
          <w:b/>
          <w:bCs/>
          <w:iCs/>
          <w:color w:val="000000" w:themeColor="text1"/>
          <w:sz w:val="21"/>
          <w:u w:val="single"/>
          <w14:textFill>
            <w14:solidFill>
              <w14:schemeClr w14:val="tx1"/>
            </w14:solidFill>
          </w14:textFill>
        </w:rPr>
      </w:pPr>
      <w:r>
        <w:rPr>
          <w:rFonts w:hint="eastAsia" w:hAnsi="宋体" w:cs="宋体"/>
          <w:color w:val="000000" w:themeColor="text1"/>
          <w:sz w:val="21"/>
          <w14:textFill>
            <w14:solidFill>
              <w14:schemeClr w14:val="tx1"/>
            </w14:solidFill>
          </w14:textFill>
        </w:rPr>
        <w:t>供应商应根据图纸和工程现场实际情况等资料，仔细核对采购人提供的工程量清单及预算，如有疑问须在答疑时提出。供应商的疑问未在采购文件规定的时间内提出或供应商未参加投标答疑的，采购人将认为供应商对所提供的工程量清单及预算书已确认，</w:t>
      </w:r>
      <w:r>
        <w:rPr>
          <w:rFonts w:hint="eastAsia" w:hAnsi="宋体" w:cs="宋体"/>
          <w:iCs/>
          <w:color w:val="000000" w:themeColor="text1"/>
          <w:sz w:val="21"/>
          <w14:textFill>
            <w14:solidFill>
              <w14:schemeClr w14:val="tx1"/>
            </w14:solidFill>
          </w14:textFill>
        </w:rPr>
        <w:t>视为采购人提供的工程量清单不存在问题。</w:t>
      </w:r>
    </w:p>
    <w:p w14:paraId="4BE834D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p>
    <w:p w14:paraId="5EC47FB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p>
    <w:p w14:paraId="446C0B3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7、变更估价原则</w:t>
      </w:r>
    </w:p>
    <w:p w14:paraId="44A3192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（1）已标价工程量清单中有适用于变更工程项目的，应采用该项目的单价。</w:t>
      </w:r>
    </w:p>
    <w:p w14:paraId="5E23E09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（2）由设计变更和采购人要求变动的内容引起的新的工程量清单项目，其对应的综合单价按下列方法确定：</w:t>
      </w:r>
    </w:p>
    <w:p w14:paraId="5672EEA0">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①. 响应文件中已有适用的综合单价，按响应文件中已有的综合单价确定；</w:t>
      </w:r>
    </w:p>
    <w:p w14:paraId="433F5FD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②. 响应文件中有类似的综合单价，参照类似的综合单价确定；</w:t>
      </w:r>
    </w:p>
    <w:p w14:paraId="4F4EE026">
      <w:pPr>
        <w:adjustRightInd w:val="0"/>
        <w:spacing w:line="360" w:lineRule="auto"/>
        <w:ind w:firstLine="420" w:firstLineChars="200"/>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③. 响应文件中没有适用或类似的综合单价，由承包人提出综合单价，经发包人确认，审计单位审核后，按响应文件中的让利幅度同比率进行下浮结算。</w:t>
      </w:r>
    </w:p>
    <w:p w14:paraId="376EA85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供应商成交后根据本单位的最终总报价和首轮明细报价，自行调整各明细单价（原则上除不可竞争费外，其他各分项报价同比例下浮）直至合价和最终报价（以元为单位，保留两位小数）相符，报采购人和预算编制单位审核，审核通过后，后期根据审核后的明细报价，按实结算。</w:t>
      </w:r>
    </w:p>
    <w:p w14:paraId="029068E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p>
    <w:p w14:paraId="14CC2853">
      <w:pPr>
        <w:adjustRightInd w:val="0"/>
        <w:snapToGrid w:val="0"/>
        <w:spacing w:line="360" w:lineRule="auto"/>
        <w:rPr>
          <w:rFonts w:ascii="宋体" w:hAnsi="宋体" w:cs="宋体"/>
          <w:color w:val="000000" w:themeColor="text1"/>
          <w:szCs w:val="21"/>
          <w14:textFill>
            <w14:solidFill>
              <w14:schemeClr w14:val="tx1"/>
            </w14:solidFill>
          </w14:textFill>
        </w:rPr>
      </w:pPr>
    </w:p>
    <w:p w14:paraId="64FF4566">
      <w:pPr>
        <w:rPr>
          <w:rFonts w:ascii="宋体" w:hAnsi="宋体" w:cs="宋体"/>
          <w:color w:val="000000" w:themeColor="text1"/>
          <w:sz w:val="32"/>
          <w:szCs w:val="32"/>
          <w14:textFill>
            <w14:solidFill>
              <w14:schemeClr w14:val="tx1"/>
            </w14:solidFill>
          </w14:textFill>
        </w:rPr>
      </w:pPr>
      <w:bookmarkStart w:id="32" w:name="_Toc109304975"/>
      <w:r>
        <w:rPr>
          <w:rFonts w:hint="eastAsia" w:ascii="宋体" w:hAnsi="宋体" w:cs="宋体"/>
          <w:color w:val="000000" w:themeColor="text1"/>
          <w:sz w:val="32"/>
          <w:szCs w:val="32"/>
          <w14:textFill>
            <w14:solidFill>
              <w14:schemeClr w14:val="tx1"/>
            </w14:solidFill>
          </w14:textFill>
        </w:rPr>
        <w:br w:type="page"/>
      </w:r>
    </w:p>
    <w:p w14:paraId="1D36887E">
      <w:pPr>
        <w:pStyle w:val="3"/>
        <w:spacing w:line="360" w:lineRule="auto"/>
        <w:jc w:val="cente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第五章 评审方法及评审标准</w:t>
      </w:r>
      <w:bookmarkEnd w:id="32"/>
    </w:p>
    <w:p w14:paraId="36A26587">
      <w:pPr>
        <w:pStyle w:val="60"/>
        <w:wordWrap w:val="0"/>
        <w:spacing w:before="0" w:after="0"/>
        <w:ind w:firstLine="422" w:firstLineChars="200"/>
        <w:rPr>
          <w:rFonts w:ascii="宋体" w:hAnsi="宋体" w:cs="宋体"/>
          <w:b/>
          <w:color w:val="000000" w:themeColor="text1"/>
          <w:kern w:val="2"/>
          <w:sz w:val="21"/>
          <w:szCs w:val="21"/>
          <w14:textFill>
            <w14:solidFill>
              <w14:schemeClr w14:val="tx1"/>
            </w14:solidFill>
          </w14:textFill>
        </w:rPr>
      </w:pPr>
      <w:r>
        <w:rPr>
          <w:rFonts w:hint="eastAsia" w:ascii="宋体" w:hAnsi="宋体" w:cs="宋体"/>
          <w:b/>
          <w:color w:val="000000" w:themeColor="text1"/>
          <w:kern w:val="2"/>
          <w:sz w:val="21"/>
          <w:szCs w:val="21"/>
          <w14:textFill>
            <w14:solidFill>
              <w14:schemeClr w14:val="tx1"/>
            </w14:solidFill>
          </w14:textFill>
        </w:rPr>
        <w:t>一、评审方法</w:t>
      </w:r>
    </w:p>
    <w:p w14:paraId="549CC9F7">
      <w:pPr>
        <w:pStyle w:val="24"/>
        <w:wordWrap w:val="0"/>
        <w:spacing w:after="0" w:line="360" w:lineRule="auto"/>
        <w:ind w:left="0" w:leftChars="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p>
    <w:p w14:paraId="0F94FBAC">
      <w:pPr>
        <w:pStyle w:val="24"/>
        <w:wordWrap w:val="0"/>
        <w:spacing w:after="0" w:line="360" w:lineRule="auto"/>
        <w:ind w:left="0" w:leftChars="0" w:firstLine="422"/>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二、政府采购政策功能落实</w:t>
      </w:r>
    </w:p>
    <w:p w14:paraId="1097EE22">
      <w:pPr>
        <w:pStyle w:val="24"/>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424B19BE">
      <w:pPr>
        <w:pStyle w:val="24"/>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1、小微型企业价格扣除</w:t>
      </w:r>
    </w:p>
    <w:p w14:paraId="3B7426E2">
      <w:pPr>
        <w:pStyle w:val="24"/>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（1）对小型和微型企业产品给予20%的扣除价格，用扣除后的价格参与评审。</w:t>
      </w:r>
    </w:p>
    <w:p w14:paraId="7626CE53">
      <w:pPr>
        <w:pStyle w:val="24"/>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（2）供应商需按照采购文件的要求提供相应的《企业声明函》。</w:t>
      </w:r>
    </w:p>
    <w:p w14:paraId="34256A44">
      <w:pPr>
        <w:pStyle w:val="24"/>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2、残疾人福利单位价格扣除</w:t>
      </w:r>
    </w:p>
    <w:p w14:paraId="78FB0AA8">
      <w:pPr>
        <w:pStyle w:val="24"/>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（1）对残疾人福利性单位视同小型、微型企业，给予20%的价格扣除，用扣除后的价格参与评审。</w:t>
      </w:r>
    </w:p>
    <w:p w14:paraId="1819F83B">
      <w:pPr>
        <w:pStyle w:val="24"/>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（2）残疾人福利单位需按照采购文件的要求提供《残疾人福利性单位声明函》。</w:t>
      </w:r>
    </w:p>
    <w:p w14:paraId="69FF10F6">
      <w:pPr>
        <w:pStyle w:val="24"/>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（3）残疾人福利单位标准请参照《关于促进残疾人就业政府采购政策的通知》（财库〔2017〕141号）。</w:t>
      </w:r>
    </w:p>
    <w:p w14:paraId="351AD342">
      <w:pPr>
        <w:pStyle w:val="24"/>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3、监狱和戒毒企业价格扣除</w:t>
      </w:r>
    </w:p>
    <w:p w14:paraId="00BD132F">
      <w:pPr>
        <w:pStyle w:val="24"/>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（1）对监狱和戒毒企业（简称监狱企业）视同小型、微型企业，给予20%的价格扣除，用扣除后的价格参与评审。</w:t>
      </w:r>
    </w:p>
    <w:p w14:paraId="5B569B62">
      <w:pPr>
        <w:pStyle w:val="24"/>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（2）监狱企业参加政府采购活动时，需提供由省级以上监狱管理局、戒毒管理局(含新疆生产建设兵团)出具的属于监狱企业的证明文件。供应商如不提供上述证明文件，价格将不做相应扣除。</w:t>
      </w:r>
    </w:p>
    <w:p w14:paraId="7A8525BD">
      <w:pPr>
        <w:pStyle w:val="24"/>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（3）监狱企业标准请参照《关于政府采购支持监狱企业发展有关问题的通知》（财库</w:t>
      </w:r>
      <w:r>
        <w:rPr>
          <w:rFonts w:hint="eastAsia" w:ascii="宋体" w:hAnsi="宋体" w:cs="宋体"/>
          <w:color w:val="000000" w:themeColor="text1"/>
          <w14:textFill>
            <w14:solidFill>
              <w14:schemeClr w14:val="tx1"/>
            </w14:solidFill>
          </w14:textFill>
        </w:rPr>
        <w:cr/>
      </w:r>
      <w:r>
        <w:rPr>
          <w:rFonts w:hint="eastAsia" w:ascii="宋体" w:hAnsi="宋体" w:cs="宋体"/>
          <w:color w:val="000000" w:themeColor="text1"/>
          <w14:textFill>
            <w14:solidFill>
              <w14:schemeClr w14:val="tx1"/>
            </w14:solidFill>
          </w14:textFill>
        </w:rPr>
        <w:t>[2014]68号）。</w:t>
      </w:r>
    </w:p>
    <w:p w14:paraId="73E2EE06">
      <w:pPr>
        <w:pStyle w:val="24"/>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4、残疾人福利单位、监狱企业属于小型、微型企业的，不重复享受政策。</w:t>
      </w:r>
    </w:p>
    <w:p w14:paraId="2ECF2D48">
      <w:pPr>
        <w:pStyle w:val="24"/>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p>
    <w:p w14:paraId="18418060">
      <w:pPr>
        <w:pStyle w:val="24"/>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6、联合体各方均为小型、微型企业（残疾人福利单位、监狱企业）的，联合体享受20%价格扣除，用扣除后的价格参与评审。</w:t>
      </w:r>
    </w:p>
    <w:p w14:paraId="011A338A">
      <w:pPr>
        <w:pStyle w:val="24"/>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7、大中型企业向小型、微型企业分包的，分包意向协议约定小型、微型企业合同份额占到合同总金额30%以上的，给予6%的价格扣除，用扣除后的价格参与评审。</w:t>
      </w:r>
    </w:p>
    <w:p w14:paraId="29C99AA0">
      <w:pPr>
        <w:wordWrap w:val="0"/>
        <w:spacing w:line="360" w:lineRule="auto"/>
        <w:ind w:firstLine="422" w:firstLineChars="200"/>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注：本项目专门面对中小企业采购，故对小微、残疾人和监狱戒毒企业不做价格扣除优惠。</w:t>
      </w:r>
    </w:p>
    <w:p w14:paraId="2CFBC2A2">
      <w:pPr>
        <w:spacing w:line="360" w:lineRule="auto"/>
        <w:ind w:firstLine="422" w:firstLineChars="200"/>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r>
    </w:p>
    <w:p w14:paraId="20F95453">
      <w:pPr>
        <w:pStyle w:val="60"/>
        <w:ind w:firstLine="422" w:firstLineChars="200"/>
        <w:rPr>
          <w:rFonts w:ascii="宋体" w:hAnsi="宋体" w:cs="宋体"/>
          <w:b/>
          <w:color w:val="000000" w:themeColor="text1"/>
          <w:kern w:val="2"/>
          <w:sz w:val="21"/>
          <w:szCs w:val="21"/>
          <w14:textFill>
            <w14:solidFill>
              <w14:schemeClr w14:val="tx1"/>
            </w14:solidFill>
          </w14:textFill>
        </w:rPr>
      </w:pPr>
      <w:r>
        <w:rPr>
          <w:rFonts w:hint="eastAsia" w:ascii="宋体" w:hAnsi="宋体" w:cs="宋体"/>
          <w:b/>
          <w:color w:val="000000" w:themeColor="text1"/>
          <w:kern w:val="2"/>
          <w:sz w:val="21"/>
          <w:szCs w:val="21"/>
          <w14:textFill>
            <w14:solidFill>
              <w14:schemeClr w14:val="tx1"/>
            </w14:solidFill>
          </w14:textFill>
        </w:rPr>
        <w:t>三、评审标准</w:t>
      </w:r>
    </w:p>
    <w:tbl>
      <w:tblPr>
        <w:tblStyle w:val="25"/>
        <w:tblW w:w="88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8"/>
        <w:gridCol w:w="1125"/>
        <w:gridCol w:w="6590"/>
      </w:tblGrid>
      <w:tr w14:paraId="34711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98" w:type="dxa"/>
            <w:noWrap/>
            <w:vAlign w:val="center"/>
          </w:tcPr>
          <w:p w14:paraId="43929F5E">
            <w:pPr>
              <w:rPr>
                <w:rFonts w:ascii="宋体" w:hAnsi="宋体" w:cs="宋体"/>
                <w:b/>
                <w:color w:val="000000" w:themeColor="text1"/>
                <w14:textFill>
                  <w14:solidFill>
                    <w14:schemeClr w14:val="tx1"/>
                  </w14:solidFill>
                </w14:textFill>
              </w:rPr>
            </w:pPr>
            <w:bookmarkStart w:id="33" w:name="_Toc109304976"/>
            <w:r>
              <w:rPr>
                <w:rFonts w:hint="eastAsia" w:ascii="宋体" w:hAnsi="宋体" w:cs="宋体"/>
                <w:color w:val="000000" w:themeColor="text1"/>
                <w14:textFill>
                  <w14:solidFill>
                    <w14:schemeClr w14:val="tx1"/>
                  </w14:solidFill>
                </w14:textFill>
              </w:rPr>
              <w:br w:type="page"/>
            </w:r>
            <w:r>
              <w:rPr>
                <w:rFonts w:hint="eastAsia" w:ascii="宋体" w:hAnsi="宋体" w:cs="宋体"/>
                <w:b/>
                <w:color w:val="000000" w:themeColor="text1"/>
                <w14:textFill>
                  <w14:solidFill>
                    <w14:schemeClr w14:val="tx1"/>
                  </w14:solidFill>
                </w14:textFill>
              </w:rPr>
              <w:t>评审分项</w:t>
            </w:r>
          </w:p>
        </w:tc>
        <w:tc>
          <w:tcPr>
            <w:tcW w:w="7715" w:type="dxa"/>
            <w:gridSpan w:val="2"/>
            <w:noWrap/>
            <w:vAlign w:val="center"/>
          </w:tcPr>
          <w:p w14:paraId="117A33E9">
            <w:pPr>
              <w:jc w:val="cente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评审细则</w:t>
            </w:r>
          </w:p>
        </w:tc>
      </w:tr>
      <w:tr w14:paraId="71D07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1098" w:type="dxa"/>
            <w:noWrap/>
            <w:vAlign w:val="center"/>
          </w:tcPr>
          <w:p w14:paraId="76BF45EC">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报价得分（40分）</w:t>
            </w:r>
          </w:p>
        </w:tc>
        <w:tc>
          <w:tcPr>
            <w:tcW w:w="7715" w:type="dxa"/>
            <w:gridSpan w:val="2"/>
            <w:noWrap/>
            <w:vAlign w:val="center"/>
          </w:tcPr>
          <w:p w14:paraId="7DE639E9">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价格分统一采用低价优先法计算，即满足采购文件要求且磋商后价格最低的报价为评标基准价，其价格分为满分，其他投标人的价格分统一按照下列公式计算（小数点保留两位）：报价得分＝（评标基准价/磋商后报价）×40分。</w:t>
            </w:r>
          </w:p>
          <w:p w14:paraId="1F577FD0">
            <w:pPr>
              <w:rPr>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注：评标委员会认为投标人的报价明显低于其他通过符合性审查投标人的报价，有可能影响产品质量或者不能诚信履约的，应当要求其在合理的时间内提供合理性书面说明，必要时提交相关证明材料；投标人不能证明其报价合理性的，评标委员会应当将其作为无效投标处理。</w:t>
            </w:r>
          </w:p>
        </w:tc>
      </w:tr>
      <w:tr w14:paraId="1BC09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1098" w:type="dxa"/>
            <w:vMerge w:val="restart"/>
            <w:noWrap/>
            <w:vAlign w:val="center"/>
          </w:tcPr>
          <w:p w14:paraId="357A6605">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施工方案</w:t>
            </w:r>
          </w:p>
          <w:p w14:paraId="45F2794D">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（51分）</w:t>
            </w:r>
          </w:p>
        </w:tc>
        <w:tc>
          <w:tcPr>
            <w:tcW w:w="1125" w:type="dxa"/>
            <w:noWrap/>
            <w:vAlign w:val="center"/>
          </w:tcPr>
          <w:p w14:paraId="0983807A">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施工总体部署（10分）</w:t>
            </w:r>
          </w:p>
        </w:tc>
        <w:tc>
          <w:tcPr>
            <w:tcW w:w="6590" w:type="dxa"/>
            <w:noWrap/>
            <w:vAlign w:val="center"/>
          </w:tcPr>
          <w:p w14:paraId="6EDB73B5">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施工总体部署，包含但不限于以下内容：确定项目的质量、进度、成本、安全、环保等管理目标，拟投入的最高人数和平均人数，劳动力使用计划、材料供应计划和机械设备供应计划等。</w:t>
            </w:r>
          </w:p>
          <w:p w14:paraId="0A6E6D3D">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方案科学、严密、合理，描述详细，针对性和可操作性强的，且无瑕疵的得10分；</w:t>
            </w:r>
          </w:p>
          <w:p w14:paraId="386F1408">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方案较科学合理，描述较为详细，针对性较强，或存在1处瑕疵的得7分；</w:t>
            </w:r>
          </w:p>
          <w:p w14:paraId="04C42BF4">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方案基本合理，描述不到位，针对性和可操作性性一般的，或有2处瑕疵的得4分；</w:t>
            </w:r>
          </w:p>
          <w:p w14:paraId="1922D32C">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方案简单，描述略欠缺，存在一定实施难度的，或存在2处瑕疵的得1分；</w:t>
            </w:r>
          </w:p>
          <w:p w14:paraId="090C0C89">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未提供的或有4处瑕疵及以上的得0分。</w:t>
            </w:r>
          </w:p>
        </w:tc>
      </w:tr>
      <w:tr w14:paraId="5B90D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1098" w:type="dxa"/>
            <w:vMerge w:val="continue"/>
            <w:noWrap/>
            <w:vAlign w:val="center"/>
          </w:tcPr>
          <w:p w14:paraId="7AB97859">
            <w:pPr>
              <w:rPr>
                <w:rFonts w:ascii="宋体" w:hAnsi="宋体" w:cs="宋体"/>
                <w:bCs/>
                <w:color w:val="000000" w:themeColor="text1"/>
                <w14:textFill>
                  <w14:solidFill>
                    <w14:schemeClr w14:val="tx1"/>
                  </w14:solidFill>
                </w14:textFill>
              </w:rPr>
            </w:pPr>
          </w:p>
        </w:tc>
        <w:tc>
          <w:tcPr>
            <w:tcW w:w="1125" w:type="dxa"/>
            <w:noWrap/>
            <w:vAlign w:val="center"/>
          </w:tcPr>
          <w:p w14:paraId="46A17E16">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主要分部、分项施工方法（8分）</w:t>
            </w:r>
          </w:p>
        </w:tc>
        <w:tc>
          <w:tcPr>
            <w:tcW w:w="6590" w:type="dxa"/>
            <w:noWrap/>
            <w:vAlign w:val="center"/>
          </w:tcPr>
          <w:p w14:paraId="02C12310">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主要分部、分项施工方法：包含且不限于以下内容：工程概况及施工特点分析、施工方法和施工机械的选择、分部（分项）工程的施工准备工作计划等内容。</w:t>
            </w:r>
          </w:p>
          <w:p w14:paraId="692CD713">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施工总体部署，包含但不限于以下内容：确定项目的质量、进度、成本、安全、环保等管理目标，拟投入的最高人数和平均人数，劳动力使用计划、材料供应计划和机械设备供应计划等。</w:t>
            </w:r>
          </w:p>
          <w:p w14:paraId="3F0705A7">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方案科学、严密、合理，描述详细，针对性和可操作性强的，且无瑕疵的得8分；</w:t>
            </w:r>
          </w:p>
          <w:p w14:paraId="3D6F454B">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方案较科学合理，描述较为详细，针对性较强，或存在1处瑕疵的得6分；</w:t>
            </w:r>
          </w:p>
          <w:p w14:paraId="47D3DA71">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方案基本合理，描述不到位，针对性和可操作性性一般的，或有2处瑕疵的得4分；</w:t>
            </w:r>
          </w:p>
          <w:p w14:paraId="2CAA9F5F">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方案简单，描述略欠缺，存在一定实施难度的，或存在2处瑕疵的得2分；</w:t>
            </w:r>
          </w:p>
          <w:p w14:paraId="64F08B68">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未提供的或有4处瑕疵及以上的得0分。</w:t>
            </w:r>
          </w:p>
        </w:tc>
      </w:tr>
      <w:tr w14:paraId="056A8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8" w:hRule="atLeast"/>
          <w:jc w:val="center"/>
        </w:trPr>
        <w:tc>
          <w:tcPr>
            <w:tcW w:w="1098" w:type="dxa"/>
            <w:vMerge w:val="continue"/>
            <w:noWrap/>
            <w:vAlign w:val="center"/>
          </w:tcPr>
          <w:p w14:paraId="6AC028FA">
            <w:pPr>
              <w:rPr>
                <w:rFonts w:ascii="宋体" w:hAnsi="宋体" w:cs="宋体"/>
                <w:bCs/>
                <w:color w:val="000000" w:themeColor="text1"/>
                <w14:textFill>
                  <w14:solidFill>
                    <w14:schemeClr w14:val="tx1"/>
                  </w14:solidFill>
                </w14:textFill>
              </w:rPr>
            </w:pPr>
          </w:p>
        </w:tc>
        <w:tc>
          <w:tcPr>
            <w:tcW w:w="1125" w:type="dxa"/>
            <w:noWrap/>
            <w:vAlign w:val="center"/>
          </w:tcPr>
          <w:p w14:paraId="4CDB0FF1">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针对本工程特点采用的特殊措施（5分）</w:t>
            </w:r>
          </w:p>
        </w:tc>
        <w:tc>
          <w:tcPr>
            <w:tcW w:w="6590" w:type="dxa"/>
            <w:noWrap/>
            <w:vAlign w:val="center"/>
          </w:tcPr>
          <w:p w14:paraId="3BF6CA28">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针对本工程特点采用的特殊措施：包含但不限于：（1）如施工期间出现不可预见或预见不足给工期造成影响时,调整、增加专业队伍和施工人员及施工机械。（2）制定切实可行的抢工期措施及应急方案。（3）施工段采取整体与区域流水施工的方式，以压缩工期等内容。</w:t>
            </w:r>
          </w:p>
          <w:p w14:paraId="61E40DAF">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方案科学、严密、合理，描述详细，针对性和可操作性强的，且无瑕疵的得5分；</w:t>
            </w:r>
          </w:p>
          <w:p w14:paraId="50FE6DC4">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方案基本合理，描述一般，针对性和可操作性性一般的，或有1处瑕疵的得3分；</w:t>
            </w:r>
          </w:p>
          <w:p w14:paraId="5A9056DB">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方案简单，描述略欠缺，存在一定实施难度的，或有2处瑕疵的得1分；</w:t>
            </w:r>
          </w:p>
          <w:p w14:paraId="41EF7D33">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未提供的或有3处瑕疵及以上的得0分。</w:t>
            </w:r>
          </w:p>
        </w:tc>
      </w:tr>
      <w:tr w14:paraId="7F3CB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098" w:type="dxa"/>
            <w:vMerge w:val="continue"/>
            <w:noWrap/>
            <w:vAlign w:val="center"/>
          </w:tcPr>
          <w:p w14:paraId="2619E7F8">
            <w:pPr>
              <w:rPr>
                <w:rFonts w:ascii="宋体" w:hAnsi="宋体" w:cs="宋体"/>
                <w:bCs/>
                <w:color w:val="000000" w:themeColor="text1"/>
                <w14:textFill>
                  <w14:solidFill>
                    <w14:schemeClr w14:val="tx1"/>
                  </w14:solidFill>
                </w14:textFill>
              </w:rPr>
            </w:pPr>
          </w:p>
        </w:tc>
        <w:tc>
          <w:tcPr>
            <w:tcW w:w="1125" w:type="dxa"/>
            <w:noWrap/>
            <w:vAlign w:val="center"/>
          </w:tcPr>
          <w:p w14:paraId="5948F62F">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季节性施工措施（5分）</w:t>
            </w:r>
          </w:p>
        </w:tc>
        <w:tc>
          <w:tcPr>
            <w:tcW w:w="6590" w:type="dxa"/>
            <w:noWrap/>
            <w:vAlign w:val="center"/>
          </w:tcPr>
          <w:p w14:paraId="2A67F236">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季节性施工措施：针对季节性特点和雨季等制定科学合理的施工措施。</w:t>
            </w:r>
          </w:p>
          <w:p w14:paraId="1ED35195">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措施科学、严密、合理，描述详细且具有针对性强的，且无瑕疵的得5分；</w:t>
            </w:r>
          </w:p>
          <w:p w14:paraId="01640B9C">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措施较科学、合理，描述较详细，针对性一般的，或有1处瑕疵的得3分；</w:t>
            </w:r>
          </w:p>
          <w:p w14:paraId="187BA4DC">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措施不合理、描述略欠缺、针对性差的，或有2处瑕疵的得1分；</w:t>
            </w:r>
          </w:p>
          <w:p w14:paraId="5DEC2437">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未提供的或有3处瑕疵及以上的得0分。</w:t>
            </w:r>
          </w:p>
        </w:tc>
      </w:tr>
      <w:tr w14:paraId="34BB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jc w:val="center"/>
        </w:trPr>
        <w:tc>
          <w:tcPr>
            <w:tcW w:w="1098" w:type="dxa"/>
            <w:vMerge w:val="continue"/>
            <w:noWrap/>
            <w:vAlign w:val="center"/>
          </w:tcPr>
          <w:p w14:paraId="1563C393">
            <w:pPr>
              <w:rPr>
                <w:rFonts w:ascii="宋体" w:hAnsi="宋体" w:cs="宋体"/>
                <w:bCs/>
                <w:color w:val="000000" w:themeColor="text1"/>
                <w14:textFill>
                  <w14:solidFill>
                    <w14:schemeClr w14:val="tx1"/>
                  </w14:solidFill>
                </w14:textFill>
              </w:rPr>
            </w:pPr>
          </w:p>
        </w:tc>
        <w:tc>
          <w:tcPr>
            <w:tcW w:w="1125" w:type="dxa"/>
            <w:noWrap/>
            <w:vAlign w:val="center"/>
          </w:tcPr>
          <w:p w14:paraId="085B1DDC">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质量保证措施（8分）</w:t>
            </w:r>
          </w:p>
        </w:tc>
        <w:tc>
          <w:tcPr>
            <w:tcW w:w="6590" w:type="dxa"/>
            <w:noWrap/>
            <w:vAlign w:val="center"/>
          </w:tcPr>
          <w:p w14:paraId="1496CE11">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质量保证措施：包含但不限于：明确质量目标、强调过程改进、采用适当的质量标准和方法、进行质量审计与评估、供应商评估、质量标准明确、合同条款与条件、供应商质量管理体系等。</w:t>
            </w:r>
          </w:p>
          <w:p w14:paraId="0DBB5DDE">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措施科学、严密、合理，描述详细且具有针对性强的，且无瑕疵的得8分；</w:t>
            </w:r>
          </w:p>
          <w:p w14:paraId="7625CAAC">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措施较科学、合理，描述较详细，针对性一般的，或有1处瑕疵的得6分；</w:t>
            </w:r>
          </w:p>
          <w:p w14:paraId="07ABE173">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措施基本合理，描述不到位，针对性和可操作性性一般的，或有2处瑕疵的得4分；</w:t>
            </w:r>
          </w:p>
          <w:p w14:paraId="5A592B4F">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措施不合理、描述略欠缺、针对性差的，或有2处瑕疵的得2分；</w:t>
            </w:r>
          </w:p>
          <w:p w14:paraId="508AF90A">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未提供的或有3处瑕疵及以上的得0分。</w:t>
            </w:r>
          </w:p>
        </w:tc>
      </w:tr>
      <w:tr w14:paraId="48C75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6" w:hRule="atLeast"/>
          <w:jc w:val="center"/>
        </w:trPr>
        <w:tc>
          <w:tcPr>
            <w:tcW w:w="1098" w:type="dxa"/>
            <w:vMerge w:val="continue"/>
            <w:noWrap/>
            <w:vAlign w:val="center"/>
          </w:tcPr>
          <w:p w14:paraId="6D7B177D">
            <w:pPr>
              <w:rPr>
                <w:rFonts w:ascii="宋体" w:hAnsi="宋体" w:cs="宋体"/>
                <w:bCs/>
                <w:color w:val="000000" w:themeColor="text1"/>
                <w14:textFill>
                  <w14:solidFill>
                    <w14:schemeClr w14:val="tx1"/>
                  </w14:solidFill>
                </w14:textFill>
              </w:rPr>
            </w:pPr>
          </w:p>
        </w:tc>
        <w:tc>
          <w:tcPr>
            <w:tcW w:w="1125" w:type="dxa"/>
            <w:shd w:val="clear" w:color="auto" w:fill="auto"/>
            <w:noWrap/>
            <w:vAlign w:val="center"/>
          </w:tcPr>
          <w:p w14:paraId="5A71CD04">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安全生产和文明施工措施（5分）</w:t>
            </w:r>
          </w:p>
        </w:tc>
        <w:tc>
          <w:tcPr>
            <w:tcW w:w="6590" w:type="dxa"/>
            <w:shd w:val="clear" w:color="auto" w:fill="auto"/>
            <w:noWrap/>
            <w:vAlign w:val="center"/>
          </w:tcPr>
          <w:p w14:paraId="421C860D">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安全生产和文明施工措施：包含且不限于（1）进行现场文化建设。（2）规范场容，保持作业环境整洁卫生。（3）创造有序生产的条件。（4）减少对居民和环境的不利影响等。</w:t>
            </w:r>
          </w:p>
          <w:p w14:paraId="43B8FC35">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安全文明施工及环境保护措施合理、全面，符合相关标准、规范、规程，针对性强的，且无瑕疵的得5分；</w:t>
            </w:r>
          </w:p>
          <w:p w14:paraId="1CB33438">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安全文明施工及环境保护措施简单，针对性一般的，或有1处瑕疵的得3分；</w:t>
            </w:r>
          </w:p>
          <w:p w14:paraId="5F65E72B">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措施简单，描述略欠缺，存在一定实施难度的，或有2处瑕疵的得1分；</w:t>
            </w:r>
          </w:p>
          <w:p w14:paraId="22EA50F1">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未提供的或有3处瑕疵及以上的得0分。</w:t>
            </w:r>
          </w:p>
        </w:tc>
      </w:tr>
      <w:tr w14:paraId="26BC9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98" w:type="dxa"/>
            <w:vMerge w:val="continue"/>
            <w:noWrap/>
            <w:vAlign w:val="center"/>
          </w:tcPr>
          <w:p w14:paraId="6DDAEA67">
            <w:pPr>
              <w:rPr>
                <w:rFonts w:ascii="宋体" w:hAnsi="宋体" w:cs="宋体"/>
                <w:bCs/>
                <w:color w:val="000000" w:themeColor="text1"/>
                <w14:textFill>
                  <w14:solidFill>
                    <w14:schemeClr w14:val="tx1"/>
                  </w14:solidFill>
                </w14:textFill>
              </w:rPr>
            </w:pPr>
          </w:p>
        </w:tc>
        <w:tc>
          <w:tcPr>
            <w:tcW w:w="1125" w:type="dxa"/>
            <w:noWrap/>
            <w:vAlign w:val="center"/>
          </w:tcPr>
          <w:p w14:paraId="11564294">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工期保证措施（5分）</w:t>
            </w:r>
          </w:p>
        </w:tc>
        <w:tc>
          <w:tcPr>
            <w:tcW w:w="6590" w:type="dxa"/>
            <w:noWrap/>
            <w:vAlign w:val="center"/>
          </w:tcPr>
          <w:p w14:paraId="1A0438AD">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工期保证措施：包含且不限于：根据工期及施工定额计算，合理安排人、机、料进场计划，对分项工程组织流水施工、分项工程工期尽量提前，以消化外界因素对工期的损失、分解施工任务到生产班组，并实行工期目标奖、及时作好分项工程的实验、检查、签证工作，以保证下一道工序的正常开工、提前准备出赶工所需要的施工机械设备、工具、材料、施工人员及后勤保障等。</w:t>
            </w:r>
          </w:p>
          <w:p w14:paraId="59F0CBBE">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计划安排较合理，保证措施较全面，针对性较强的，且无瑕疵的得5分；</w:t>
            </w:r>
          </w:p>
          <w:p w14:paraId="41D9D874">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计划安排略有欠缺，保证措施一般，可行性一般的，或有1处瑕疵的得3分；</w:t>
            </w:r>
          </w:p>
          <w:p w14:paraId="1AE18F91">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计划安排不太合理，保证措施不全面，可行性差的，或有2处瑕疵的得1分；</w:t>
            </w:r>
          </w:p>
          <w:p w14:paraId="28634E6B">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未提供的或有3处瑕疵及以上的得0分。</w:t>
            </w:r>
          </w:p>
        </w:tc>
      </w:tr>
      <w:tr w14:paraId="05A1C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atLeast"/>
          <w:jc w:val="center"/>
        </w:trPr>
        <w:tc>
          <w:tcPr>
            <w:tcW w:w="1098" w:type="dxa"/>
            <w:vMerge w:val="continue"/>
            <w:noWrap/>
            <w:vAlign w:val="center"/>
          </w:tcPr>
          <w:p w14:paraId="6FBC0677">
            <w:pPr>
              <w:rPr>
                <w:rFonts w:ascii="宋体" w:hAnsi="宋体" w:cs="宋体"/>
                <w:bCs/>
                <w:color w:val="000000" w:themeColor="text1"/>
                <w14:textFill>
                  <w14:solidFill>
                    <w14:schemeClr w14:val="tx1"/>
                  </w14:solidFill>
                </w14:textFill>
              </w:rPr>
            </w:pPr>
          </w:p>
        </w:tc>
        <w:tc>
          <w:tcPr>
            <w:tcW w:w="1125" w:type="dxa"/>
            <w:noWrap/>
            <w:vAlign w:val="center"/>
          </w:tcPr>
          <w:p w14:paraId="30C6F3EE">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降低成本、提高经济效益措施（5分）</w:t>
            </w:r>
          </w:p>
        </w:tc>
        <w:tc>
          <w:tcPr>
            <w:tcW w:w="6590" w:type="dxa"/>
            <w:noWrap/>
            <w:vAlign w:val="center"/>
          </w:tcPr>
          <w:p w14:paraId="3A1B7B21">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降低成本、提高经济效益措施：包含且不限于（1）加强工程项目的成本管理。（2）加强现场材料管理。（3）加强劳动力的调度与管理。（4）选用先进合理的施工工艺及施工方法。（5）合理组织施工等。</w:t>
            </w:r>
          </w:p>
          <w:p w14:paraId="6D06B169">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措施科学、严密、合理，描述详细且具有针对性，且无瑕疵的得5分；</w:t>
            </w:r>
          </w:p>
          <w:p w14:paraId="3F8BDC20">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措施较科学、合理，描述较详细，针对性较强的，或有1处瑕疵的得3分；</w:t>
            </w:r>
          </w:p>
          <w:p w14:paraId="1676556A">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措施简单，描述略欠缺，存在一定实施难度的，或有2处瑕疵的得1分；</w:t>
            </w:r>
          </w:p>
          <w:p w14:paraId="5DF552F0">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未提供的或有3处瑕疵及以上的得0分。</w:t>
            </w:r>
          </w:p>
        </w:tc>
      </w:tr>
      <w:tr w14:paraId="70C1A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jc w:val="center"/>
        </w:trPr>
        <w:tc>
          <w:tcPr>
            <w:tcW w:w="1098" w:type="dxa"/>
            <w:vMerge w:val="restart"/>
            <w:noWrap/>
            <w:vAlign w:val="center"/>
          </w:tcPr>
          <w:p w14:paraId="0EF4F314">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商务部分（9分）</w:t>
            </w:r>
          </w:p>
        </w:tc>
        <w:tc>
          <w:tcPr>
            <w:tcW w:w="1125" w:type="dxa"/>
            <w:noWrap/>
            <w:vAlign w:val="center"/>
          </w:tcPr>
          <w:p w14:paraId="55B2D251">
            <w:pPr>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企业业绩（3分）</w:t>
            </w:r>
          </w:p>
        </w:tc>
        <w:tc>
          <w:tcPr>
            <w:tcW w:w="6590" w:type="dxa"/>
            <w:noWrap/>
            <w:vAlign w:val="center"/>
          </w:tcPr>
          <w:p w14:paraId="23863CF0">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自2023年01月01日以来（以竣工验收证明材料时间为准）承担过类似工程业绩的，每提供一个得1分，满分3分。</w:t>
            </w:r>
          </w:p>
          <w:p w14:paraId="5B8D48F1">
            <w:pPr>
              <w:rPr>
                <w:rFonts w:ascii="宋体" w:hAnsi="宋体" w:cs="宋体"/>
                <w:bCs/>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注：须同时提供中标通知书或直接发包通知书或成交通知书、施工合同、竣工验收证明材料原件扫描上传并加盖公章，关键信息模糊或未提供证明材料的不得分。</w:t>
            </w:r>
          </w:p>
        </w:tc>
      </w:tr>
      <w:tr w14:paraId="671AD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0" w:hRule="atLeast"/>
          <w:jc w:val="center"/>
        </w:trPr>
        <w:tc>
          <w:tcPr>
            <w:tcW w:w="1098" w:type="dxa"/>
            <w:vMerge w:val="continue"/>
            <w:noWrap/>
            <w:vAlign w:val="center"/>
          </w:tcPr>
          <w:p w14:paraId="59863DE4">
            <w:pPr>
              <w:rPr>
                <w:color w:val="000000" w:themeColor="text1"/>
                <w14:textFill>
                  <w14:solidFill>
                    <w14:schemeClr w14:val="tx1"/>
                  </w14:solidFill>
                </w14:textFill>
              </w:rPr>
            </w:pPr>
          </w:p>
        </w:tc>
        <w:tc>
          <w:tcPr>
            <w:tcW w:w="1125" w:type="dxa"/>
            <w:noWrap/>
            <w:vAlign w:val="center"/>
          </w:tcPr>
          <w:p w14:paraId="5FFE3723">
            <w:pPr>
              <w:jc w:val="center"/>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人员配备</w:t>
            </w:r>
          </w:p>
          <w:p w14:paraId="6A1C9B05">
            <w:pPr>
              <w:jc w:val="center"/>
              <w:rPr>
                <w:rFonts w:ascii="宋体" w:hAnsi="宋体" w:cs="宋体"/>
                <w:bCs/>
                <w:color w:val="000000" w:themeColor="text1"/>
                <w14:textFill>
                  <w14:solidFill>
                    <w14:schemeClr w14:val="tx1"/>
                  </w14:solidFill>
                </w14:textFill>
              </w:rPr>
            </w:pPr>
            <w:r>
              <w:rPr>
                <w:rFonts w:hint="eastAsia" w:ascii="宋体" w:hAnsi="宋体" w:cs="宋体"/>
                <w:color w:val="000000" w:themeColor="text1"/>
                <w:sz w:val="22"/>
                <w14:textFill>
                  <w14:solidFill>
                    <w14:schemeClr w14:val="tx1"/>
                  </w14:solidFill>
                </w14:textFill>
              </w:rPr>
              <w:t>（6分）</w:t>
            </w:r>
          </w:p>
        </w:tc>
        <w:tc>
          <w:tcPr>
            <w:tcW w:w="6590" w:type="dxa"/>
            <w:noWrap/>
            <w:vAlign w:val="center"/>
          </w:tcPr>
          <w:p w14:paraId="78E02E05">
            <w:pPr>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1、拟派本项目的技术负责人具有工程类中级职称的得2分，具有工程类高级及以上职称的得3分，没有不得分。</w:t>
            </w:r>
            <w:r>
              <w:rPr>
                <w:rFonts w:hint="eastAsia" w:ascii="宋体" w:hAnsi="宋体" w:cs="宋体"/>
                <w:bCs/>
                <w:color w:val="000000" w:themeColor="text1"/>
                <w14:textFill>
                  <w14:solidFill>
                    <w14:schemeClr w14:val="tx1"/>
                  </w14:solidFill>
                </w14:textFill>
              </w:rPr>
              <w:t>（以上证书不累计得分，以最高计算得分）。</w:t>
            </w:r>
          </w:p>
          <w:p w14:paraId="4F84FA7B">
            <w:pPr>
              <w:rPr>
                <w:rFonts w:ascii="宋体" w:hAnsi="宋体" w:cs="宋体"/>
                <w:b/>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w:t>
            </w:r>
            <w:r>
              <w:rPr>
                <w:rFonts w:hint="eastAsia" w:ascii="宋体" w:hAnsi="宋体" w:cs="宋体"/>
                <w:color w:val="000000" w:themeColor="text1"/>
                <w:szCs w:val="21"/>
                <w14:textFill>
                  <w14:solidFill>
                    <w14:schemeClr w14:val="tx1"/>
                  </w14:solidFill>
                </w14:textFill>
              </w:rPr>
              <w:t>拟派本</w:t>
            </w:r>
            <w:r>
              <w:rPr>
                <w:rFonts w:hint="eastAsia" w:ascii="宋体" w:hAnsi="宋体" w:cs="宋体"/>
                <w:bCs/>
                <w:color w:val="000000" w:themeColor="text1"/>
                <w14:textFill>
                  <w14:solidFill>
                    <w14:schemeClr w14:val="tx1"/>
                  </w14:solidFill>
                </w14:textFill>
              </w:rPr>
              <w:t>项目组成员中具备</w:t>
            </w:r>
            <w:bookmarkStart w:id="34" w:name="OLE_LINK4"/>
            <w:bookmarkStart w:id="35" w:name="OLE_LINK3"/>
            <w:r>
              <w:rPr>
                <w:rFonts w:hint="eastAsia" w:ascii="宋体" w:hAnsi="宋体" w:cs="宋体"/>
                <w:bCs/>
                <w:color w:val="000000" w:themeColor="text1"/>
                <w14:textFill>
                  <w14:solidFill>
                    <w14:schemeClr w14:val="tx1"/>
                  </w14:solidFill>
                </w14:textFill>
              </w:rPr>
              <w:t>注册二级造价工程师证书的得2分</w:t>
            </w:r>
            <w:bookmarkEnd w:id="34"/>
            <w:bookmarkEnd w:id="35"/>
            <w:r>
              <w:rPr>
                <w:rFonts w:hint="eastAsia" w:ascii="宋体" w:hAnsi="宋体" w:cs="宋体"/>
                <w:bCs/>
                <w:color w:val="000000" w:themeColor="text1"/>
                <w14:textFill>
                  <w14:solidFill>
                    <w14:schemeClr w14:val="tx1"/>
                  </w14:solidFill>
                </w14:textFill>
              </w:rPr>
              <w:t>，注册一级造价工程师证书的得3分，没有不得分，满分3分（以上证书不累计得分，以最高计算得分）。</w:t>
            </w:r>
          </w:p>
          <w:p w14:paraId="6020C8F2">
            <w:pPr>
              <w:rPr>
                <w:rFonts w:ascii="宋体" w:hAnsi="宋体" w:cs="宋体"/>
                <w:b/>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注：需提供证书原件扫描件及社保部门出具的供应商为其缴纳的近三个月内任意一个月的养老保险证明材料原件扫描件</w:t>
            </w:r>
            <w:r>
              <w:rPr>
                <w:rFonts w:hint="eastAsia" w:ascii="宋体" w:hAnsi="宋体" w:cs="宋体"/>
                <w:b/>
                <w:color w:val="000000" w:themeColor="text1"/>
                <w14:textFill>
                  <w14:solidFill>
                    <w14:schemeClr w14:val="tx1"/>
                  </w14:solidFill>
                </w14:textFill>
              </w:rPr>
              <w:t>上传并加盖公章</w:t>
            </w:r>
            <w:r>
              <w:rPr>
                <w:rFonts w:hint="eastAsia" w:ascii="宋体" w:hAnsi="宋体" w:cs="宋体"/>
                <w:b/>
                <w:bCs/>
                <w:color w:val="000000" w:themeColor="text1"/>
                <w:szCs w:val="21"/>
                <w14:textFill>
                  <w14:solidFill>
                    <w14:schemeClr w14:val="tx1"/>
                  </w14:solidFill>
                </w14:textFill>
              </w:rPr>
              <w:t>，未提供不得分。</w:t>
            </w:r>
          </w:p>
        </w:tc>
      </w:tr>
    </w:tbl>
    <w:p w14:paraId="2A011EF0">
      <w:pPr>
        <w:pStyle w:val="60"/>
        <w:ind w:firstLine="0"/>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注：评委应对以上各得分项独立评分，供应商最终得分为所有评委评分汇总的平均值。</w:t>
      </w:r>
    </w:p>
    <w:p w14:paraId="380C9681">
      <w:pPr>
        <w:pStyle w:val="60"/>
        <w:ind w:firstLine="0"/>
        <w:rPr>
          <w:rFonts w:ascii="宋体" w:hAnsi="宋体" w:cs="宋体"/>
          <w:b/>
          <w:bCs/>
          <w:color w:val="000000" w:themeColor="text1"/>
          <w:sz w:val="21"/>
          <w:szCs w:val="21"/>
          <w14:textFill>
            <w14:solidFill>
              <w14:schemeClr w14:val="tx1"/>
            </w14:solidFill>
          </w14:textFill>
        </w:rPr>
      </w:pPr>
    </w:p>
    <w:p w14:paraId="07989C69">
      <w:pPr>
        <w:spacing w:line="360" w:lineRule="auto"/>
        <w:rPr>
          <w:rFonts w:ascii="宋体" w:hAnsi="宋体" w:cs="宋体"/>
          <w:color w:val="000000" w:themeColor="text1"/>
          <w14:textFill>
            <w14:solidFill>
              <w14:schemeClr w14:val="tx1"/>
            </w14:solidFill>
          </w14:textFill>
        </w:rPr>
      </w:pPr>
    </w:p>
    <w:p w14:paraId="60856213">
      <w:pPr>
        <w:pStyle w:val="3"/>
        <w:spacing w:line="360" w:lineRule="auto"/>
        <w:jc w:val="center"/>
        <w:rPr>
          <w:rFonts w:ascii="宋体" w:hAnsi="宋体" w:cs="宋体"/>
          <w:color w:val="000000" w:themeColor="text1"/>
          <w:sz w:val="32"/>
          <w:szCs w:val="32"/>
          <w14:textFill>
            <w14:solidFill>
              <w14:schemeClr w14:val="tx1"/>
            </w14:solidFill>
          </w14:textFill>
        </w:rPr>
      </w:pPr>
    </w:p>
    <w:p w14:paraId="1BFB2195">
      <w:pP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br w:type="page"/>
      </w:r>
    </w:p>
    <w:p w14:paraId="483F170C">
      <w:pPr>
        <w:pStyle w:val="3"/>
        <w:spacing w:line="360" w:lineRule="auto"/>
        <w:jc w:val="cente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第六章 竞争性磋商响应文件格式</w:t>
      </w:r>
      <w:bookmarkEnd w:id="2"/>
      <w:bookmarkEnd w:id="33"/>
    </w:p>
    <w:p w14:paraId="335D809D">
      <w:pPr>
        <w:spacing w:line="360" w:lineRule="auto"/>
        <w:jc w:val="center"/>
        <w:rPr>
          <w:rFonts w:ascii="宋体" w:hAnsi="宋体" w:cs="宋体"/>
          <w:b/>
          <w:color w:val="000000" w:themeColor="text1"/>
          <w:sz w:val="22"/>
          <w14:textFill>
            <w14:solidFill>
              <w14:schemeClr w14:val="tx1"/>
            </w14:solidFill>
          </w14:textFill>
        </w:rPr>
      </w:pPr>
    </w:p>
    <w:p w14:paraId="4D16556B">
      <w:pPr>
        <w:pStyle w:val="6"/>
        <w:spacing w:line="360" w:lineRule="auto"/>
        <w:rPr>
          <w:rFonts w:ascii="宋体" w:hAnsi="宋体" w:cs="宋体"/>
          <w:color w:val="000000" w:themeColor="text1"/>
          <w14:textFill>
            <w14:solidFill>
              <w14:schemeClr w14:val="tx1"/>
            </w14:solidFill>
          </w14:textFill>
        </w:rPr>
      </w:pPr>
    </w:p>
    <w:p w14:paraId="3D09D617">
      <w:pPr>
        <w:spacing w:line="360" w:lineRule="auto"/>
        <w:rPr>
          <w:rFonts w:ascii="宋体" w:hAnsi="宋体" w:cs="宋体"/>
          <w:color w:val="000000" w:themeColor="text1"/>
          <w14:textFill>
            <w14:solidFill>
              <w14:schemeClr w14:val="tx1"/>
            </w14:solidFill>
          </w14:textFill>
        </w:rPr>
      </w:pPr>
    </w:p>
    <w:p w14:paraId="60D223B5">
      <w:pPr>
        <w:spacing w:line="360" w:lineRule="auto"/>
        <w:jc w:val="center"/>
        <w:rPr>
          <w:rFonts w:ascii="宋体" w:hAnsi="宋体" w:cs="宋体"/>
          <w:b/>
          <w:bCs/>
          <w:color w:val="000000" w:themeColor="text1"/>
          <w:sz w:val="72"/>
          <w:szCs w:val="72"/>
          <w14:textFill>
            <w14:solidFill>
              <w14:schemeClr w14:val="tx1"/>
            </w14:solidFill>
          </w14:textFill>
        </w:rPr>
      </w:pPr>
      <w:r>
        <w:rPr>
          <w:rFonts w:hint="eastAsia" w:ascii="宋体" w:hAnsi="宋体" w:cs="宋体"/>
          <w:b/>
          <w:bCs/>
          <w:color w:val="000000" w:themeColor="text1"/>
          <w:sz w:val="52"/>
          <w:szCs w:val="52"/>
          <w14:textFill>
            <w14:solidFill>
              <w14:schemeClr w14:val="tx1"/>
            </w14:solidFill>
          </w14:textFill>
        </w:rPr>
        <w:t>响应文件</w:t>
      </w:r>
    </w:p>
    <w:p w14:paraId="4432E28C">
      <w:pPr>
        <w:spacing w:line="360" w:lineRule="auto"/>
        <w:jc w:val="center"/>
        <w:rPr>
          <w:rFonts w:ascii="宋体" w:hAnsi="宋体" w:cs="宋体"/>
          <w:b/>
          <w:color w:val="000000" w:themeColor="text1"/>
          <w:sz w:val="36"/>
          <w:szCs w:val="21"/>
          <w14:textFill>
            <w14:solidFill>
              <w14:schemeClr w14:val="tx1"/>
            </w14:solidFill>
          </w14:textFill>
        </w:rPr>
      </w:pPr>
    </w:p>
    <w:p w14:paraId="6BAF8C2E">
      <w:pPr>
        <w:spacing w:line="360" w:lineRule="auto"/>
        <w:jc w:val="center"/>
        <w:rPr>
          <w:rFonts w:ascii="宋体" w:hAnsi="宋体" w:cs="宋体"/>
          <w:b/>
          <w:color w:val="000000" w:themeColor="text1"/>
          <w:sz w:val="36"/>
          <w:szCs w:val="21"/>
          <w14:textFill>
            <w14:solidFill>
              <w14:schemeClr w14:val="tx1"/>
            </w14:solidFill>
          </w14:textFill>
        </w:rPr>
      </w:pPr>
    </w:p>
    <w:p w14:paraId="5A56B22F">
      <w:pPr>
        <w:spacing w:line="360" w:lineRule="auto"/>
        <w:jc w:val="center"/>
        <w:rPr>
          <w:rFonts w:ascii="宋体" w:hAnsi="宋体" w:cs="宋体"/>
          <w:b/>
          <w:color w:val="000000" w:themeColor="text1"/>
          <w:sz w:val="36"/>
          <w:szCs w:val="21"/>
          <w14:textFill>
            <w14:solidFill>
              <w14:schemeClr w14:val="tx1"/>
            </w14:solidFill>
          </w14:textFill>
        </w:rPr>
      </w:pPr>
    </w:p>
    <w:p w14:paraId="32F8B849">
      <w:pPr>
        <w:spacing w:line="360" w:lineRule="auto"/>
        <w:jc w:val="center"/>
        <w:rPr>
          <w:rFonts w:ascii="宋体" w:hAnsi="宋体" w:cs="宋体"/>
          <w:b/>
          <w:color w:val="000000" w:themeColor="text1"/>
          <w:sz w:val="36"/>
          <w:szCs w:val="21"/>
          <w14:textFill>
            <w14:solidFill>
              <w14:schemeClr w14:val="tx1"/>
            </w14:solidFill>
          </w14:textFill>
        </w:rPr>
      </w:pPr>
    </w:p>
    <w:p w14:paraId="2AA6653F">
      <w:pPr>
        <w:spacing w:line="360" w:lineRule="auto"/>
        <w:jc w:val="center"/>
        <w:rPr>
          <w:rFonts w:ascii="宋体" w:hAnsi="宋体" w:cs="宋体"/>
          <w:b/>
          <w:color w:val="000000" w:themeColor="text1"/>
          <w:sz w:val="36"/>
          <w:szCs w:val="21"/>
          <w14:textFill>
            <w14:solidFill>
              <w14:schemeClr w14:val="tx1"/>
            </w14:solidFill>
          </w14:textFill>
        </w:rPr>
      </w:pPr>
    </w:p>
    <w:p w14:paraId="44C284A0">
      <w:pPr>
        <w:spacing w:line="360" w:lineRule="auto"/>
        <w:jc w:val="center"/>
        <w:rPr>
          <w:rFonts w:ascii="宋体" w:hAnsi="宋体" w:cs="宋体"/>
          <w:b/>
          <w:color w:val="000000" w:themeColor="text1"/>
          <w:sz w:val="36"/>
          <w14:textFill>
            <w14:solidFill>
              <w14:schemeClr w14:val="tx1"/>
            </w14:solidFill>
          </w14:textFill>
        </w:rPr>
      </w:pPr>
    </w:p>
    <w:p w14:paraId="72A89C9E">
      <w:pPr>
        <w:spacing w:line="360" w:lineRule="auto"/>
        <w:jc w:val="center"/>
        <w:rPr>
          <w:rFonts w:ascii="宋体" w:hAnsi="宋体" w:cs="宋体"/>
          <w:b/>
          <w:color w:val="000000" w:themeColor="text1"/>
          <w:sz w:val="36"/>
          <w14:textFill>
            <w14:solidFill>
              <w14:schemeClr w14:val="tx1"/>
            </w14:solidFill>
          </w14:textFill>
        </w:rPr>
      </w:pPr>
    </w:p>
    <w:p w14:paraId="7C7D1AC2">
      <w:pPr>
        <w:spacing w:line="360" w:lineRule="auto"/>
        <w:ind w:firstLine="1928" w:firstLineChars="600"/>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项目名称：</w:t>
      </w:r>
      <w:r>
        <w:rPr>
          <w:rFonts w:hint="eastAsia" w:ascii="宋体" w:hAnsi="宋体" w:cs="宋体"/>
          <w:b/>
          <w:color w:val="000000" w:themeColor="text1"/>
          <w:sz w:val="32"/>
          <w:szCs w:val="32"/>
          <w:u w:val="single"/>
          <w14:textFill>
            <w14:solidFill>
              <w14:schemeClr w14:val="tx1"/>
            </w14:solidFill>
          </w14:textFill>
        </w:rPr>
        <w:t xml:space="preserve">                      </w:t>
      </w:r>
    </w:p>
    <w:p w14:paraId="5E9BD2DA">
      <w:pPr>
        <w:spacing w:line="360" w:lineRule="auto"/>
        <w:ind w:firstLine="1928" w:firstLineChars="600"/>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项目编号：</w:t>
      </w:r>
      <w:r>
        <w:rPr>
          <w:rFonts w:hint="eastAsia" w:ascii="宋体" w:hAnsi="宋体" w:cs="宋体"/>
          <w:b/>
          <w:color w:val="000000" w:themeColor="text1"/>
          <w:sz w:val="32"/>
          <w:szCs w:val="32"/>
          <w:u w:val="single"/>
          <w14:textFill>
            <w14:solidFill>
              <w14:schemeClr w14:val="tx1"/>
            </w14:solidFill>
          </w14:textFill>
        </w:rPr>
        <w:t xml:space="preserve">                      </w:t>
      </w:r>
    </w:p>
    <w:p w14:paraId="7D976A27">
      <w:pPr>
        <w:spacing w:line="360" w:lineRule="auto"/>
        <w:ind w:firstLine="1928" w:firstLineChars="600"/>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采购人名称：</w:t>
      </w:r>
      <w:r>
        <w:rPr>
          <w:rFonts w:hint="eastAsia" w:ascii="宋体" w:hAnsi="宋体" w:cs="宋体"/>
          <w:b/>
          <w:color w:val="000000" w:themeColor="text1"/>
          <w:sz w:val="32"/>
          <w:szCs w:val="32"/>
          <w:u w:val="single"/>
          <w14:textFill>
            <w14:solidFill>
              <w14:schemeClr w14:val="tx1"/>
            </w14:solidFill>
          </w14:textFill>
        </w:rPr>
        <w:t xml:space="preserve">                    </w:t>
      </w:r>
    </w:p>
    <w:p w14:paraId="5EF31406">
      <w:pPr>
        <w:spacing w:line="360" w:lineRule="auto"/>
        <w:ind w:firstLine="1928" w:firstLineChars="600"/>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供应商名称：</w:t>
      </w:r>
      <w:r>
        <w:rPr>
          <w:rFonts w:hint="eastAsia" w:ascii="宋体" w:hAnsi="宋体" w:cs="宋体"/>
          <w:b/>
          <w:color w:val="000000" w:themeColor="text1"/>
          <w:sz w:val="32"/>
          <w:szCs w:val="32"/>
          <w:u w:val="single"/>
          <w14:textFill>
            <w14:solidFill>
              <w14:schemeClr w14:val="tx1"/>
            </w14:solidFill>
          </w14:textFill>
        </w:rPr>
        <w:t xml:space="preserve">                    </w:t>
      </w:r>
    </w:p>
    <w:p w14:paraId="044D1958">
      <w:pPr>
        <w:spacing w:line="360" w:lineRule="auto"/>
        <w:ind w:firstLine="1928" w:firstLineChars="600"/>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日期：</w:t>
      </w:r>
      <w:r>
        <w:rPr>
          <w:rFonts w:hint="eastAsia" w:ascii="宋体" w:hAnsi="宋体" w:cs="宋体"/>
          <w:b/>
          <w:color w:val="000000" w:themeColor="text1"/>
          <w:sz w:val="32"/>
          <w:szCs w:val="32"/>
          <w:u w:val="single"/>
          <w14:textFill>
            <w14:solidFill>
              <w14:schemeClr w14:val="tx1"/>
            </w14:solidFill>
          </w14:textFill>
        </w:rPr>
        <w:t xml:space="preserve">                          </w:t>
      </w:r>
    </w:p>
    <w:p w14:paraId="667550A0">
      <w:pPr>
        <w:spacing w:line="360" w:lineRule="auto"/>
        <w:ind w:firstLine="1928" w:firstLineChars="600"/>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供应商：（电子签章）</w:t>
      </w:r>
      <w:r>
        <w:rPr>
          <w:rFonts w:hint="eastAsia" w:ascii="宋体" w:hAnsi="宋体" w:cs="宋体"/>
          <w:b/>
          <w:color w:val="000000" w:themeColor="text1"/>
          <w:sz w:val="32"/>
          <w:szCs w:val="32"/>
          <w:u w:val="single"/>
          <w14:textFill>
            <w14:solidFill>
              <w14:schemeClr w14:val="tx1"/>
            </w14:solidFill>
          </w14:textFill>
        </w:rPr>
        <w:t xml:space="preserve">            </w:t>
      </w:r>
    </w:p>
    <w:p w14:paraId="4BD621B2">
      <w:pPr>
        <w:spacing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r>
        <w:rPr>
          <w:rFonts w:hint="eastAsia" w:ascii="宋体" w:hAnsi="宋体" w:cs="宋体"/>
          <w:b/>
          <w:bCs/>
          <w:color w:val="000000" w:themeColor="text1"/>
          <w:sz w:val="32"/>
          <w:szCs w:val="32"/>
          <w14:textFill>
            <w14:solidFill>
              <w14:schemeClr w14:val="tx1"/>
            </w14:solidFill>
          </w14:textFill>
        </w:rPr>
        <w:t>目录</w:t>
      </w:r>
    </w:p>
    <w:p w14:paraId="70A1F053">
      <w:pPr>
        <w:spacing w:line="360" w:lineRule="auto"/>
        <w:jc w:val="center"/>
        <w:rPr>
          <w:rFonts w:ascii="宋体" w:hAnsi="宋体" w:cs="宋体"/>
          <w:b/>
          <w:bCs/>
          <w:color w:val="000000" w:themeColor="text1"/>
          <w:sz w:val="32"/>
          <w:szCs w:val="32"/>
          <w14:textFill>
            <w14:solidFill>
              <w14:schemeClr w14:val="tx1"/>
            </w14:solidFill>
          </w14:textFill>
        </w:rPr>
      </w:pPr>
    </w:p>
    <w:p w14:paraId="37AFAA6E">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一、资格审查响应对照表</w:t>
      </w:r>
    </w:p>
    <w:p w14:paraId="5DC6DBE8">
      <w:pPr>
        <w:spacing w:line="360" w:lineRule="auto"/>
        <w:ind w:left="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二、符合性审查响应对照表</w:t>
      </w:r>
    </w:p>
    <w:p w14:paraId="698DE9E3">
      <w:pPr>
        <w:spacing w:line="360" w:lineRule="auto"/>
        <w:ind w:left="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三、非实质性响应对照表</w:t>
      </w:r>
    </w:p>
    <w:p w14:paraId="4E8F2537">
      <w:pPr>
        <w:spacing w:line="360" w:lineRule="auto"/>
        <w:ind w:firstLine="480" w:firstLineChars="200"/>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四</w:t>
      </w:r>
      <w:r>
        <w:rPr>
          <w:rFonts w:hint="eastAsia" w:ascii="宋体" w:hAnsi="宋体" w:cs="宋体"/>
          <w:b/>
          <w:bCs/>
          <w:color w:val="000000" w:themeColor="text1"/>
          <w:sz w:val="24"/>
          <w14:textFill>
            <w14:solidFill>
              <w14:schemeClr w14:val="tx1"/>
            </w14:solidFill>
          </w14:textFill>
        </w:rPr>
        <w:t>、</w:t>
      </w:r>
      <w:r>
        <w:rPr>
          <w:rFonts w:hint="eastAsia" w:ascii="宋体" w:hAnsi="宋体" w:cs="宋体"/>
          <w:i/>
          <w:color w:val="000000" w:themeColor="text1"/>
          <w:sz w:val="24"/>
          <w:u w:val="single"/>
          <w14:textFill>
            <w14:solidFill>
              <w14:schemeClr w14:val="tx1"/>
            </w14:solidFill>
          </w14:textFill>
        </w:rPr>
        <w:t>磋商响应报价表</w:t>
      </w:r>
    </w:p>
    <w:p w14:paraId="1F1A202F">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五、</w:t>
      </w:r>
      <w:r>
        <w:rPr>
          <w:rFonts w:hint="eastAsia" w:ascii="宋体" w:hAnsi="宋体" w:cs="宋体"/>
          <w:color w:val="000000" w:themeColor="text1"/>
          <w:sz w:val="24"/>
          <w:szCs w:val="24"/>
          <w14:textFill>
            <w14:solidFill>
              <w14:schemeClr w14:val="tx1"/>
            </w14:solidFill>
          </w14:textFill>
        </w:rPr>
        <w:t>技术参数响应及偏离表</w:t>
      </w:r>
    </w:p>
    <w:p w14:paraId="116B6375">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六</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商务条款响应及偏离表</w:t>
      </w:r>
    </w:p>
    <w:p w14:paraId="32117DC7">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七、其他 （供应商认为有必要提供的声明和文件，如有自拟并自行添加）</w:t>
      </w:r>
    </w:p>
    <w:p w14:paraId="1EDC09FB">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br w:type="page"/>
      </w:r>
      <w:r>
        <w:rPr>
          <w:rFonts w:hint="eastAsia" w:ascii="宋体" w:hAnsi="宋体" w:cs="宋体"/>
          <w:b/>
          <w:color w:val="000000" w:themeColor="text1"/>
          <w:sz w:val="32"/>
          <w:szCs w:val="32"/>
          <w14:textFill>
            <w14:solidFill>
              <w14:schemeClr w14:val="tx1"/>
            </w14:solidFill>
          </w14:textFill>
        </w:rPr>
        <w:t>一、资格审查响应对照表</w:t>
      </w:r>
    </w:p>
    <w:tbl>
      <w:tblPr>
        <w:tblStyle w:val="25"/>
        <w:tblW w:w="92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6978"/>
        <w:gridCol w:w="1591"/>
      </w:tblGrid>
      <w:tr w14:paraId="3B8D4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09" w:type="dxa"/>
            <w:vAlign w:val="center"/>
          </w:tcPr>
          <w:p w14:paraId="30CB4D23">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6978" w:type="dxa"/>
            <w:vAlign w:val="center"/>
          </w:tcPr>
          <w:p w14:paraId="5A6DCE31">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资格审查响应内容</w:t>
            </w:r>
          </w:p>
        </w:tc>
        <w:tc>
          <w:tcPr>
            <w:tcW w:w="1591" w:type="dxa"/>
            <w:vAlign w:val="center"/>
          </w:tcPr>
          <w:p w14:paraId="0E92542F">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是否响应</w:t>
            </w:r>
          </w:p>
          <w:p w14:paraId="33D70818">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（填是或者否）</w:t>
            </w:r>
          </w:p>
        </w:tc>
      </w:tr>
      <w:tr w14:paraId="410C2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9278" w:type="dxa"/>
            <w:gridSpan w:val="3"/>
            <w:vAlign w:val="center"/>
          </w:tcPr>
          <w:p w14:paraId="14A5FE3D">
            <w:pP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通用资格条件</w:t>
            </w:r>
          </w:p>
        </w:tc>
      </w:tr>
      <w:tr w14:paraId="185A9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709" w:type="dxa"/>
            <w:vAlign w:val="center"/>
          </w:tcPr>
          <w:p w14:paraId="3E27F115">
            <w:pPr>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6978" w:type="dxa"/>
            <w:vAlign w:val="center"/>
          </w:tcPr>
          <w:p w14:paraId="30D3A086">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法人或者其他组织的营业执照等证明文件，自然人的身份证明；</w:t>
            </w:r>
          </w:p>
        </w:tc>
        <w:tc>
          <w:tcPr>
            <w:tcW w:w="1591" w:type="dxa"/>
            <w:vAlign w:val="center"/>
          </w:tcPr>
          <w:p w14:paraId="23DD03FB">
            <w:pPr>
              <w:rPr>
                <w:rFonts w:ascii="宋体" w:hAnsi="宋体" w:cs="宋体"/>
                <w:b/>
                <w:color w:val="000000" w:themeColor="text1"/>
                <w:szCs w:val="21"/>
                <w14:textFill>
                  <w14:solidFill>
                    <w14:schemeClr w14:val="tx1"/>
                  </w14:solidFill>
                </w14:textFill>
              </w:rPr>
            </w:pPr>
          </w:p>
        </w:tc>
      </w:tr>
      <w:tr w14:paraId="2F4BF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jc w:val="center"/>
        </w:trPr>
        <w:tc>
          <w:tcPr>
            <w:tcW w:w="709" w:type="dxa"/>
            <w:vAlign w:val="center"/>
          </w:tcPr>
          <w:p w14:paraId="74BCCABE">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6978" w:type="dxa"/>
            <w:vAlign w:val="center"/>
          </w:tcPr>
          <w:p w14:paraId="5F1A921D">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依法缴纳职工社会保障资金的证明材料；</w:t>
            </w:r>
            <w:r>
              <w:rPr>
                <w:rFonts w:hint="eastAsia" w:ascii="宋体" w:hAnsi="宋体" w:cs="宋体"/>
                <w:b/>
                <w:bCs/>
                <w:color w:val="000000" w:themeColor="text1"/>
                <w:szCs w:val="21"/>
                <w14:textFill>
                  <w14:solidFill>
                    <w14:schemeClr w14:val="tx1"/>
                  </w14:solidFill>
                </w14:textFill>
              </w:rPr>
              <w:t>(税务、银行或社会保险基金管理部门出具的近三个月内任意一个月缴纳职工社会保障资金的缴款凭证或缴款证明)</w:t>
            </w:r>
          </w:p>
        </w:tc>
        <w:tc>
          <w:tcPr>
            <w:tcW w:w="1591" w:type="dxa"/>
            <w:vAlign w:val="center"/>
          </w:tcPr>
          <w:p w14:paraId="6117D53A">
            <w:pPr>
              <w:rPr>
                <w:rFonts w:ascii="宋体" w:hAnsi="宋体" w:cs="宋体"/>
                <w:color w:val="000000" w:themeColor="text1"/>
                <w:szCs w:val="21"/>
                <w14:textFill>
                  <w14:solidFill>
                    <w14:schemeClr w14:val="tx1"/>
                  </w14:solidFill>
                </w14:textFill>
              </w:rPr>
            </w:pPr>
          </w:p>
        </w:tc>
      </w:tr>
      <w:tr w14:paraId="55C7C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709" w:type="dxa"/>
            <w:vAlign w:val="center"/>
          </w:tcPr>
          <w:p w14:paraId="730B6B49">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6978" w:type="dxa"/>
            <w:vAlign w:val="center"/>
          </w:tcPr>
          <w:p w14:paraId="269363C2">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供应商近三个月内任意一份依法纳税的缴款凭证；</w:t>
            </w:r>
            <w:r>
              <w:rPr>
                <w:rFonts w:hint="eastAsia" w:ascii="宋体" w:hAnsi="宋体" w:cs="宋体"/>
                <w:b/>
                <w:bCs/>
                <w:color w:val="000000" w:themeColor="text1"/>
                <w:szCs w:val="21"/>
                <w14:textFill>
                  <w14:solidFill>
                    <w14:schemeClr w14:val="tx1"/>
                  </w14:solidFill>
                </w14:textFill>
              </w:rPr>
              <w:t>（供应商依法享受缓缴、免缴的提供证明材料）</w:t>
            </w:r>
          </w:p>
        </w:tc>
        <w:tc>
          <w:tcPr>
            <w:tcW w:w="1591" w:type="dxa"/>
            <w:vAlign w:val="center"/>
          </w:tcPr>
          <w:p w14:paraId="0E646052">
            <w:pPr>
              <w:rPr>
                <w:rFonts w:ascii="宋体" w:hAnsi="宋体" w:cs="宋体"/>
                <w:color w:val="000000" w:themeColor="text1"/>
                <w:szCs w:val="21"/>
                <w14:textFill>
                  <w14:solidFill>
                    <w14:schemeClr w14:val="tx1"/>
                  </w14:solidFill>
                </w14:textFill>
              </w:rPr>
            </w:pPr>
          </w:p>
        </w:tc>
      </w:tr>
      <w:tr w14:paraId="45786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09" w:type="dxa"/>
            <w:vAlign w:val="center"/>
          </w:tcPr>
          <w:p w14:paraId="7B63F4AF">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6978" w:type="dxa"/>
            <w:vAlign w:val="center"/>
          </w:tcPr>
          <w:p w14:paraId="10742D6A">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上一年度的财务状况报告；</w:t>
            </w:r>
            <w:r>
              <w:rPr>
                <w:rFonts w:hint="eastAsia" w:ascii="宋体" w:hAnsi="宋体" w:cs="宋体"/>
                <w:b/>
                <w:bCs/>
                <w:color w:val="000000" w:themeColor="text1"/>
                <w:szCs w:val="21"/>
                <w14:textFill>
                  <w14:solidFill>
                    <w14:schemeClr w14:val="tx1"/>
                  </w14:solidFill>
                </w14:textFill>
              </w:rPr>
              <w:t>（成立不满一年不需提供）</w:t>
            </w:r>
          </w:p>
        </w:tc>
        <w:tc>
          <w:tcPr>
            <w:tcW w:w="1591" w:type="dxa"/>
            <w:vAlign w:val="center"/>
          </w:tcPr>
          <w:p w14:paraId="2469FB46">
            <w:pPr>
              <w:rPr>
                <w:rFonts w:ascii="宋体" w:hAnsi="宋体" w:cs="宋体"/>
                <w:color w:val="000000" w:themeColor="text1"/>
                <w:szCs w:val="21"/>
                <w14:textFill>
                  <w14:solidFill>
                    <w14:schemeClr w14:val="tx1"/>
                  </w14:solidFill>
                </w14:textFill>
              </w:rPr>
            </w:pPr>
          </w:p>
        </w:tc>
      </w:tr>
      <w:tr w14:paraId="35531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09" w:type="dxa"/>
            <w:vAlign w:val="center"/>
          </w:tcPr>
          <w:p w14:paraId="72982BCF">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6978" w:type="dxa"/>
            <w:vAlign w:val="center"/>
          </w:tcPr>
          <w:p w14:paraId="7BD6F144">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具备履行合同所必需的设备和专业技术能力的证明材料；</w:t>
            </w:r>
          </w:p>
        </w:tc>
        <w:tc>
          <w:tcPr>
            <w:tcW w:w="1591" w:type="dxa"/>
            <w:vAlign w:val="center"/>
          </w:tcPr>
          <w:p w14:paraId="7F46414B">
            <w:pPr>
              <w:rPr>
                <w:rFonts w:ascii="宋体" w:hAnsi="宋体" w:cs="宋体"/>
                <w:color w:val="000000" w:themeColor="text1"/>
                <w:szCs w:val="21"/>
                <w14:textFill>
                  <w14:solidFill>
                    <w14:schemeClr w14:val="tx1"/>
                  </w14:solidFill>
                </w14:textFill>
              </w:rPr>
            </w:pPr>
          </w:p>
        </w:tc>
      </w:tr>
      <w:tr w14:paraId="5D04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709" w:type="dxa"/>
            <w:vAlign w:val="center"/>
          </w:tcPr>
          <w:p w14:paraId="1D1B0F80">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w:t>
            </w:r>
          </w:p>
        </w:tc>
        <w:tc>
          <w:tcPr>
            <w:tcW w:w="6978" w:type="dxa"/>
            <w:vAlign w:val="center"/>
          </w:tcPr>
          <w:p w14:paraId="5B43EA78">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参加本次政府采购活动前3年内在经营活动中没有重大违法记录的书面声明；</w:t>
            </w:r>
          </w:p>
        </w:tc>
        <w:tc>
          <w:tcPr>
            <w:tcW w:w="1591" w:type="dxa"/>
            <w:vAlign w:val="center"/>
          </w:tcPr>
          <w:p w14:paraId="6434A90D">
            <w:pPr>
              <w:rPr>
                <w:rFonts w:ascii="宋体" w:hAnsi="宋体" w:cs="宋体"/>
                <w:color w:val="000000" w:themeColor="text1"/>
                <w:szCs w:val="21"/>
                <w14:textFill>
                  <w14:solidFill>
                    <w14:schemeClr w14:val="tx1"/>
                  </w14:solidFill>
                </w14:textFill>
              </w:rPr>
            </w:pPr>
          </w:p>
        </w:tc>
      </w:tr>
      <w:tr w14:paraId="2B3D4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jc w:val="center"/>
        </w:trPr>
        <w:tc>
          <w:tcPr>
            <w:tcW w:w="709" w:type="dxa"/>
            <w:vAlign w:val="center"/>
          </w:tcPr>
          <w:p w14:paraId="03CDDF17">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w:t>
            </w:r>
          </w:p>
        </w:tc>
        <w:tc>
          <w:tcPr>
            <w:tcW w:w="6978" w:type="dxa"/>
            <w:vAlign w:val="center"/>
          </w:tcPr>
          <w:p w14:paraId="6A27D1C6">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未被“信用中国”网站（www.creditchina.gov.cn）、“中国政府采购网"(www.ccgp.gov.cn)列入失信被执行人、重大税收违法案件当事人名单、政府采购严重违法失信行为记录名单；</w:t>
            </w:r>
          </w:p>
        </w:tc>
        <w:tc>
          <w:tcPr>
            <w:tcW w:w="1591" w:type="dxa"/>
            <w:vAlign w:val="center"/>
          </w:tcPr>
          <w:p w14:paraId="01BCD990">
            <w:pPr>
              <w:rPr>
                <w:rFonts w:ascii="宋体" w:hAnsi="宋体" w:cs="宋体"/>
                <w:color w:val="000000" w:themeColor="text1"/>
                <w:szCs w:val="21"/>
                <w14:textFill>
                  <w14:solidFill>
                    <w14:schemeClr w14:val="tx1"/>
                  </w14:solidFill>
                </w14:textFill>
              </w:rPr>
            </w:pPr>
          </w:p>
        </w:tc>
      </w:tr>
      <w:tr w14:paraId="39459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709" w:type="dxa"/>
            <w:vAlign w:val="center"/>
          </w:tcPr>
          <w:p w14:paraId="326F2ED6">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w:t>
            </w:r>
          </w:p>
        </w:tc>
        <w:tc>
          <w:tcPr>
            <w:tcW w:w="6978" w:type="dxa"/>
            <w:vAlign w:val="center"/>
          </w:tcPr>
          <w:p w14:paraId="7C18AABC">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供应商信用承诺函；</w:t>
            </w:r>
          </w:p>
        </w:tc>
        <w:tc>
          <w:tcPr>
            <w:tcW w:w="1591" w:type="dxa"/>
            <w:vAlign w:val="center"/>
          </w:tcPr>
          <w:p w14:paraId="58BA9E71">
            <w:pPr>
              <w:rPr>
                <w:rFonts w:ascii="宋体" w:hAnsi="宋体" w:cs="宋体"/>
                <w:color w:val="000000" w:themeColor="text1"/>
                <w:szCs w:val="21"/>
                <w14:textFill>
                  <w14:solidFill>
                    <w14:schemeClr w14:val="tx1"/>
                  </w14:solidFill>
                </w14:textFill>
              </w:rPr>
            </w:pPr>
          </w:p>
        </w:tc>
      </w:tr>
      <w:tr w14:paraId="697A9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9278" w:type="dxa"/>
            <w:gridSpan w:val="3"/>
            <w:vAlign w:val="center"/>
          </w:tcPr>
          <w:p w14:paraId="30E5B4A2">
            <w:pPr>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落实政府采购政策需满足的资格要求</w:t>
            </w:r>
          </w:p>
        </w:tc>
      </w:tr>
      <w:tr w14:paraId="1AA14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09" w:type="dxa"/>
            <w:vAlign w:val="center"/>
          </w:tcPr>
          <w:p w14:paraId="43C95AE7">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w:t>
            </w:r>
          </w:p>
        </w:tc>
        <w:tc>
          <w:tcPr>
            <w:tcW w:w="6978" w:type="dxa"/>
            <w:vAlign w:val="center"/>
          </w:tcPr>
          <w:p w14:paraId="564009B2">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本项目面向中小企业采购，供应商投标时须提供《中小企业声明函》</w:t>
            </w:r>
          </w:p>
        </w:tc>
        <w:tc>
          <w:tcPr>
            <w:tcW w:w="1591" w:type="dxa"/>
            <w:vAlign w:val="center"/>
          </w:tcPr>
          <w:p w14:paraId="1C209F52">
            <w:pPr>
              <w:rPr>
                <w:rFonts w:ascii="宋体" w:hAnsi="宋体" w:cs="宋体"/>
                <w:color w:val="000000" w:themeColor="text1"/>
                <w:szCs w:val="21"/>
                <w14:textFill>
                  <w14:solidFill>
                    <w14:schemeClr w14:val="tx1"/>
                  </w14:solidFill>
                </w14:textFill>
              </w:rPr>
            </w:pPr>
          </w:p>
        </w:tc>
      </w:tr>
      <w:tr w14:paraId="5C969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9278" w:type="dxa"/>
            <w:gridSpan w:val="3"/>
            <w:vAlign w:val="center"/>
          </w:tcPr>
          <w:p w14:paraId="29C7628D">
            <w:pPr>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特定资格条件</w:t>
            </w:r>
          </w:p>
        </w:tc>
      </w:tr>
      <w:tr w14:paraId="7C4D7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8" w:hRule="atLeast"/>
          <w:jc w:val="center"/>
        </w:trPr>
        <w:tc>
          <w:tcPr>
            <w:tcW w:w="709" w:type="dxa"/>
            <w:vAlign w:val="center"/>
          </w:tcPr>
          <w:p w14:paraId="09967FE4">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w:t>
            </w:r>
          </w:p>
        </w:tc>
        <w:tc>
          <w:tcPr>
            <w:tcW w:w="6978" w:type="dxa"/>
            <w:vAlign w:val="center"/>
          </w:tcPr>
          <w:p w14:paraId="6AB6A646">
            <w:pPr>
              <w:numPr>
                <w:ilvl w:val="0"/>
                <w:numId w:val="0"/>
              </w:numPr>
              <w:rPr>
                <w:rFonts w:hint="eastAsia" w:ascii="宋体" w:hAnsi="宋体" w:cs="宋体"/>
                <w:iCs/>
                <w:color w:val="000000" w:themeColor="text1"/>
                <w:szCs w:val="21"/>
                <w14:textFill>
                  <w14:solidFill>
                    <w14:schemeClr w14:val="tx1"/>
                  </w14:solidFill>
                </w14:textFill>
              </w:rPr>
            </w:pPr>
            <w:r>
              <w:rPr>
                <w:rFonts w:hint="eastAsia" w:ascii="宋体" w:hAnsi="宋体" w:eastAsia="宋体" w:cs="宋体"/>
                <w:iCs/>
                <w:color w:val="000000" w:themeColor="text1"/>
                <w:kern w:val="2"/>
                <w:sz w:val="21"/>
                <w:szCs w:val="21"/>
                <w:lang w:val="en-US" w:eastAsia="zh-CN" w:bidi="ar-SA"/>
                <w14:textFill>
                  <w14:solidFill>
                    <w14:schemeClr w14:val="tx1"/>
                  </w14:solidFill>
                </w14:textFill>
              </w:rPr>
              <w:t>1、</w:t>
            </w:r>
            <w:r>
              <w:rPr>
                <w:rFonts w:hint="eastAsia" w:ascii="宋体" w:hAnsi="宋体" w:cs="宋体"/>
                <w:iCs/>
                <w:color w:val="000000" w:themeColor="text1"/>
                <w:szCs w:val="21"/>
                <w14:textFill>
                  <w14:solidFill>
                    <w14:schemeClr w14:val="tx1"/>
                  </w14:solidFill>
                </w14:textFill>
              </w:rPr>
              <w:t>供应商必须具备独立承担民事责任能力，具备建筑</w:t>
            </w:r>
            <w:r>
              <w:rPr>
                <w:rFonts w:hint="eastAsia" w:ascii="宋体" w:hAnsi="宋体" w:cs="宋体"/>
                <w:iCs/>
                <w:color w:val="000000" w:themeColor="text1"/>
                <w:szCs w:val="21"/>
                <w:lang w:val="en-US" w:eastAsia="zh-CN"/>
                <w14:textFill>
                  <w14:solidFill>
                    <w14:schemeClr w14:val="tx1"/>
                  </w14:solidFill>
                </w14:textFill>
              </w:rPr>
              <w:t>工程</w:t>
            </w:r>
            <w:r>
              <w:rPr>
                <w:rFonts w:hint="eastAsia" w:ascii="宋体" w:hAnsi="宋体" w:cs="宋体"/>
                <w:iCs/>
                <w:color w:val="000000" w:themeColor="text1"/>
                <w:szCs w:val="21"/>
                <w14:textFill>
                  <w14:solidFill>
                    <w14:schemeClr w14:val="tx1"/>
                  </w14:solidFill>
                </w14:textFill>
              </w:rPr>
              <w:t>施工总承包叁级及以上资质证书和</w:t>
            </w:r>
            <w:r>
              <w:rPr>
                <w:rFonts w:hint="eastAsia" w:ascii="宋体" w:hAnsi="宋体" w:cs="宋体"/>
                <w:iCs/>
                <w:color w:val="000000" w:themeColor="text1"/>
                <w:szCs w:val="21"/>
                <w:lang w:val="en"/>
                <w14:textFill>
                  <w14:solidFill>
                    <w14:schemeClr w14:val="tx1"/>
                  </w14:solidFill>
                </w14:textFill>
              </w:rPr>
              <w:t>省级及以上建设行政主管部门核发的《安全生产许可证》</w:t>
            </w:r>
            <w:r>
              <w:rPr>
                <w:rFonts w:hint="eastAsia" w:ascii="宋体" w:hAnsi="宋体" w:cs="宋体"/>
                <w:iCs/>
                <w:color w:val="000000" w:themeColor="text1"/>
                <w:szCs w:val="21"/>
                <w:lang w:val="en" w:eastAsia="zh-CN"/>
                <w14:textFill>
                  <w14:solidFill>
                    <w14:schemeClr w14:val="tx1"/>
                  </w14:solidFill>
                </w14:textFill>
              </w:rPr>
              <w:t>，</w:t>
            </w:r>
            <w:r>
              <w:rPr>
                <w:rFonts w:hint="eastAsia" w:ascii="宋体" w:hAnsi="宋体" w:cs="宋体"/>
                <w:iCs/>
                <w:color w:val="000000" w:themeColor="text1"/>
                <w:szCs w:val="21"/>
                <w:lang w:val="en-US" w:eastAsia="zh-CN"/>
                <w14:textFill>
                  <w14:solidFill>
                    <w14:schemeClr w14:val="tx1"/>
                  </w14:solidFill>
                </w14:textFill>
              </w:rPr>
              <w:t>且在磋商当日企业资质动态核查不处于</w:t>
            </w:r>
            <w:bookmarkStart w:id="48" w:name="_GoBack"/>
            <w:bookmarkEnd w:id="48"/>
            <w:r>
              <w:rPr>
                <w:rFonts w:hint="eastAsia" w:ascii="宋体" w:hAnsi="宋体" w:cs="宋体"/>
                <w:iCs/>
                <w:color w:val="000000" w:themeColor="text1"/>
                <w:szCs w:val="21"/>
                <w:lang w:val="en-US" w:eastAsia="zh-CN"/>
                <w14:textFill>
                  <w14:solidFill>
                    <w14:schemeClr w14:val="tx1"/>
                  </w14:solidFill>
                </w14:textFill>
              </w:rPr>
              <w:t>不合格状态</w:t>
            </w:r>
            <w:r>
              <w:rPr>
                <w:rFonts w:hint="eastAsia" w:ascii="宋体" w:hAnsi="宋体" w:cs="宋体"/>
                <w:iCs/>
                <w:color w:val="000000" w:themeColor="text1"/>
                <w:szCs w:val="21"/>
                <w14:textFill>
                  <w14:solidFill>
                    <w14:schemeClr w14:val="tx1"/>
                  </w14:solidFill>
                </w14:textFill>
              </w:rPr>
              <w:t>；</w:t>
            </w:r>
          </w:p>
          <w:p w14:paraId="711C11DB">
            <w:pPr>
              <w:numPr>
                <w:ilvl w:val="0"/>
                <w:numId w:val="0"/>
              </w:numPr>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2、</w:t>
            </w:r>
            <w:r>
              <w:rPr>
                <w:rFonts w:hint="eastAsia" w:ascii="宋体" w:hAnsi="宋体" w:cs="宋体"/>
                <w:iCs/>
                <w:color w:val="000000" w:themeColor="text1"/>
                <w:szCs w:val="21"/>
                <w:lang w:val="en"/>
                <w14:textFill>
                  <w14:solidFill>
                    <w14:schemeClr w14:val="tx1"/>
                  </w14:solidFill>
                </w14:textFill>
              </w:rPr>
              <w:t>拟投入本项目的项目负责人</w:t>
            </w:r>
            <w:r>
              <w:rPr>
                <w:rFonts w:hint="eastAsia" w:ascii="宋体" w:hAnsi="宋体" w:cs="宋体"/>
                <w:iCs/>
                <w:color w:val="000000" w:themeColor="text1"/>
                <w:szCs w:val="21"/>
                <w14:textFill>
                  <w14:solidFill>
                    <w14:schemeClr w14:val="tx1"/>
                  </w14:solidFill>
                </w14:textFill>
              </w:rPr>
              <w:t>须</w:t>
            </w:r>
            <w:r>
              <w:rPr>
                <w:rFonts w:hint="eastAsia" w:ascii="宋体" w:hAnsi="宋体" w:cs="宋体"/>
                <w:iCs/>
                <w:color w:val="000000" w:themeColor="text1"/>
                <w:szCs w:val="21"/>
                <w:lang w:val="en"/>
                <w14:textFill>
                  <w14:solidFill>
                    <w14:schemeClr w14:val="tx1"/>
                  </w14:solidFill>
                </w14:textFill>
              </w:rPr>
              <w:t>具备</w:t>
            </w:r>
            <w:r>
              <w:rPr>
                <w:rFonts w:hint="eastAsia" w:ascii="宋体" w:hAnsi="宋体" w:cs="宋体"/>
                <w:iCs/>
                <w:color w:val="000000" w:themeColor="text1"/>
                <w:szCs w:val="21"/>
                <w14:textFill>
                  <w14:solidFill>
                    <w14:schemeClr w14:val="tx1"/>
                  </w14:solidFill>
                </w14:textFill>
              </w:rPr>
              <w:t>建筑</w:t>
            </w:r>
            <w:r>
              <w:rPr>
                <w:rFonts w:hint="eastAsia" w:ascii="宋体" w:hAnsi="宋体" w:cs="宋体"/>
                <w:iCs/>
                <w:color w:val="000000" w:themeColor="text1"/>
                <w:szCs w:val="21"/>
                <w:lang w:val="en"/>
                <w14:textFill>
                  <w14:solidFill>
                    <w14:schemeClr w14:val="tx1"/>
                  </w14:solidFill>
                </w14:textFill>
              </w:rPr>
              <w:t>工程二级（含）以上注册建造师执业资格</w:t>
            </w:r>
            <w:r>
              <w:rPr>
                <w:rFonts w:hint="eastAsia" w:ascii="宋体" w:hAnsi="宋体" w:cs="宋体"/>
                <w:iCs/>
                <w:color w:val="000000" w:themeColor="text1"/>
                <w:szCs w:val="21"/>
                <w14:textFill>
                  <w14:solidFill>
                    <w14:schemeClr w14:val="tx1"/>
                  </w14:solidFill>
                </w14:textFill>
              </w:rPr>
              <w:t>和</w:t>
            </w:r>
            <w:r>
              <w:rPr>
                <w:rFonts w:hint="eastAsia" w:ascii="宋体" w:hAnsi="宋体" w:cs="宋体"/>
                <w:iCs/>
                <w:color w:val="000000" w:themeColor="text1"/>
                <w:szCs w:val="21"/>
                <w:lang w:val="en"/>
                <w14:textFill>
                  <w14:solidFill>
                    <w14:schemeClr w14:val="tx1"/>
                  </w14:solidFill>
                </w14:textFill>
              </w:rPr>
              <w:t>有效的安全生产考核合格证书（</w:t>
            </w:r>
            <w:r>
              <w:rPr>
                <w:rFonts w:hint="eastAsia" w:ascii="宋体" w:hAnsi="宋体" w:cs="宋体"/>
                <w:iCs/>
                <w:color w:val="000000" w:themeColor="text1"/>
                <w:szCs w:val="21"/>
                <w14:textFill>
                  <w14:solidFill>
                    <w14:schemeClr w14:val="tx1"/>
                  </w14:solidFill>
                </w14:textFill>
              </w:rPr>
              <w:t>B证</w:t>
            </w:r>
            <w:r>
              <w:rPr>
                <w:rFonts w:hint="eastAsia" w:ascii="宋体" w:hAnsi="宋体" w:cs="宋体"/>
                <w:iCs/>
                <w:color w:val="000000" w:themeColor="text1"/>
                <w:szCs w:val="21"/>
                <w:lang w:val="en"/>
                <w14:textFill>
                  <w14:solidFill>
                    <w14:schemeClr w14:val="tx1"/>
                  </w14:solidFill>
                </w14:textFill>
              </w:rPr>
              <w:t>），</w:t>
            </w:r>
            <w:r>
              <w:rPr>
                <w:rFonts w:hint="eastAsia" w:ascii="宋体" w:hAnsi="宋体" w:cs="宋体"/>
                <w:iCs/>
                <w:color w:val="000000" w:themeColor="text1"/>
                <w:szCs w:val="21"/>
                <w14:textFill>
                  <w14:solidFill>
                    <w14:schemeClr w14:val="tx1"/>
                  </w14:solidFill>
                </w14:textFill>
              </w:rPr>
              <w:t>并提供近三个月内任意一个月社保缴纳证明材料，</w:t>
            </w:r>
            <w:r>
              <w:rPr>
                <w:rFonts w:hint="eastAsia" w:ascii="宋体" w:hAnsi="宋体" w:cs="宋体"/>
                <w:iCs/>
                <w:color w:val="000000" w:themeColor="text1"/>
                <w:szCs w:val="21"/>
                <w:lang w:val="en"/>
                <w14:textFill>
                  <w14:solidFill>
                    <w14:schemeClr w14:val="tx1"/>
                  </w14:solidFill>
                </w14:textFill>
              </w:rPr>
              <w:t>且无在</w:t>
            </w:r>
            <w:r>
              <w:rPr>
                <w:rFonts w:hint="eastAsia" w:ascii="宋体" w:hAnsi="宋体" w:cs="宋体"/>
                <w:iCs/>
                <w:color w:val="000000" w:themeColor="text1"/>
                <w:szCs w:val="21"/>
                <w14:textFill>
                  <w14:solidFill>
                    <w14:schemeClr w14:val="tx1"/>
                  </w14:solidFill>
                </w14:textFill>
              </w:rPr>
              <w:t>建</w:t>
            </w:r>
            <w:r>
              <w:rPr>
                <w:rFonts w:hint="eastAsia" w:ascii="宋体" w:hAnsi="宋体" w:cs="宋体"/>
                <w:iCs/>
                <w:color w:val="000000" w:themeColor="text1"/>
                <w:szCs w:val="21"/>
                <w:lang w:val="en"/>
                <w14:textFill>
                  <w14:solidFill>
                    <w14:schemeClr w14:val="tx1"/>
                  </w14:solidFill>
                </w14:textFill>
              </w:rPr>
              <w:t>工程（</w:t>
            </w:r>
            <w:r>
              <w:rPr>
                <w:rFonts w:hint="eastAsia" w:ascii="宋体" w:hAnsi="宋体" w:cs="宋体"/>
                <w:iCs/>
                <w:color w:val="000000" w:themeColor="text1"/>
                <w:szCs w:val="21"/>
                <w14:textFill>
                  <w14:solidFill>
                    <w14:schemeClr w14:val="tx1"/>
                  </w14:solidFill>
                </w14:textFill>
              </w:rPr>
              <w:t>提供无在建工程承诺书</w:t>
            </w:r>
            <w:r>
              <w:rPr>
                <w:rFonts w:hint="eastAsia" w:ascii="宋体" w:hAnsi="宋体" w:cs="宋体"/>
                <w:iCs/>
                <w:color w:val="000000" w:themeColor="text1"/>
                <w:szCs w:val="21"/>
                <w:lang w:val="en"/>
                <w14:textFill>
                  <w14:solidFill>
                    <w14:schemeClr w14:val="tx1"/>
                  </w14:solidFill>
                </w14:textFill>
              </w:rPr>
              <w:t>）</w:t>
            </w:r>
            <w:r>
              <w:rPr>
                <w:rFonts w:hint="eastAsia" w:ascii="宋体" w:hAnsi="宋体" w:cs="宋体"/>
                <w:iCs/>
                <w:color w:val="000000" w:themeColor="text1"/>
                <w:szCs w:val="21"/>
                <w14:textFill>
                  <w14:solidFill>
                    <w14:schemeClr w14:val="tx1"/>
                  </w14:solidFill>
                </w14:textFill>
              </w:rPr>
              <w:t>；</w:t>
            </w:r>
          </w:p>
        </w:tc>
        <w:tc>
          <w:tcPr>
            <w:tcW w:w="1591" w:type="dxa"/>
            <w:vAlign w:val="center"/>
          </w:tcPr>
          <w:p w14:paraId="736859D8">
            <w:pPr>
              <w:rPr>
                <w:rFonts w:ascii="宋体" w:hAnsi="宋体" w:cs="宋体"/>
                <w:color w:val="000000" w:themeColor="text1"/>
                <w:szCs w:val="21"/>
                <w14:textFill>
                  <w14:solidFill>
                    <w14:schemeClr w14:val="tx1"/>
                  </w14:solidFill>
                </w14:textFill>
              </w:rPr>
            </w:pPr>
          </w:p>
        </w:tc>
      </w:tr>
      <w:tr w14:paraId="72945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9278" w:type="dxa"/>
            <w:gridSpan w:val="3"/>
            <w:vAlign w:val="center"/>
          </w:tcPr>
          <w:p w14:paraId="43397CD3">
            <w:pPr>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其他资格条件</w:t>
            </w:r>
          </w:p>
        </w:tc>
      </w:tr>
      <w:tr w14:paraId="11CF7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09" w:type="dxa"/>
            <w:vAlign w:val="center"/>
          </w:tcPr>
          <w:p w14:paraId="2C01624C">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w:t>
            </w:r>
          </w:p>
        </w:tc>
        <w:tc>
          <w:tcPr>
            <w:tcW w:w="6978" w:type="dxa"/>
            <w:vAlign w:val="center"/>
          </w:tcPr>
          <w:p w14:paraId="69FCB88D">
            <w:pPr>
              <w:snapToGrid w:val="0"/>
              <w:jc w:val="left"/>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磋商响应函</w:t>
            </w:r>
          </w:p>
        </w:tc>
        <w:tc>
          <w:tcPr>
            <w:tcW w:w="1591" w:type="dxa"/>
            <w:vAlign w:val="center"/>
          </w:tcPr>
          <w:p w14:paraId="5B79B347">
            <w:pPr>
              <w:rPr>
                <w:rFonts w:ascii="宋体" w:hAnsi="宋体" w:cs="宋体"/>
                <w:color w:val="000000" w:themeColor="text1"/>
                <w:szCs w:val="21"/>
                <w14:textFill>
                  <w14:solidFill>
                    <w14:schemeClr w14:val="tx1"/>
                  </w14:solidFill>
                </w14:textFill>
              </w:rPr>
            </w:pPr>
          </w:p>
        </w:tc>
      </w:tr>
      <w:tr w14:paraId="24F04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709" w:type="dxa"/>
            <w:vAlign w:val="center"/>
          </w:tcPr>
          <w:p w14:paraId="081E162D">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w:t>
            </w:r>
          </w:p>
        </w:tc>
        <w:tc>
          <w:tcPr>
            <w:tcW w:w="6978" w:type="dxa"/>
            <w:vAlign w:val="center"/>
          </w:tcPr>
          <w:p w14:paraId="23F1E052">
            <w:pPr>
              <w:snapToGrid w:val="0"/>
              <w:jc w:val="left"/>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法人授权书</w:t>
            </w:r>
          </w:p>
        </w:tc>
        <w:tc>
          <w:tcPr>
            <w:tcW w:w="1591" w:type="dxa"/>
            <w:vAlign w:val="center"/>
          </w:tcPr>
          <w:p w14:paraId="03808094">
            <w:pPr>
              <w:rPr>
                <w:rFonts w:ascii="宋体" w:hAnsi="宋体" w:cs="宋体"/>
                <w:color w:val="000000" w:themeColor="text1"/>
                <w:szCs w:val="21"/>
                <w14:textFill>
                  <w14:solidFill>
                    <w14:schemeClr w14:val="tx1"/>
                  </w14:solidFill>
                </w14:textFill>
              </w:rPr>
            </w:pPr>
          </w:p>
        </w:tc>
      </w:tr>
    </w:tbl>
    <w:p w14:paraId="769A4732">
      <w:pPr>
        <w:spacing w:line="360" w:lineRule="auto"/>
        <w:rPr>
          <w:rFonts w:ascii="宋体" w:hAnsi="宋体" w:cs="宋体"/>
          <w:b/>
          <w:bCs/>
          <w:snapToGrid w:val="0"/>
          <w:color w:val="000000" w:themeColor="text1"/>
          <w:kern w:val="0"/>
          <w:sz w:val="28"/>
          <w:szCs w:val="28"/>
          <w14:textFill>
            <w14:solidFill>
              <w14:schemeClr w14:val="tx1"/>
            </w14:solidFill>
          </w14:textFill>
        </w:rPr>
      </w:pPr>
      <w:r>
        <w:rPr>
          <w:rFonts w:hint="eastAsia" w:ascii="宋体" w:hAnsi="宋体" w:cs="宋体"/>
          <w:b/>
          <w:bCs/>
          <w:snapToGrid w:val="0"/>
          <w:color w:val="000000" w:themeColor="text1"/>
          <w:kern w:val="0"/>
          <w:sz w:val="28"/>
          <w:szCs w:val="28"/>
          <w14:textFill>
            <w14:solidFill>
              <w14:schemeClr w14:val="tx1"/>
            </w14:solidFill>
          </w14:textFill>
        </w:rPr>
        <w:br w:type="page"/>
      </w:r>
    </w:p>
    <w:p w14:paraId="073CB516">
      <w:pPr>
        <w:widowControl/>
        <w:kinsoku w:val="0"/>
        <w:autoSpaceDE w:val="0"/>
        <w:autoSpaceDN w:val="0"/>
        <w:adjustRightInd w:val="0"/>
        <w:snapToGrid w:val="0"/>
        <w:spacing w:before="156" w:beforeLines="50" w:after="156" w:afterLines="50" w:line="360" w:lineRule="auto"/>
        <w:jc w:val="center"/>
        <w:textAlignment w:val="baseline"/>
        <w:rPr>
          <w:rFonts w:ascii="宋体" w:hAnsi="宋体" w:cs="宋体"/>
          <w:b/>
          <w:bCs/>
          <w:snapToGrid w:val="0"/>
          <w:color w:val="000000" w:themeColor="text1"/>
          <w:kern w:val="0"/>
          <w:sz w:val="28"/>
          <w:szCs w:val="28"/>
          <w14:textFill>
            <w14:solidFill>
              <w14:schemeClr w14:val="tx1"/>
            </w14:solidFill>
          </w14:textFill>
        </w:rPr>
      </w:pPr>
      <w:r>
        <w:rPr>
          <w:rFonts w:hint="eastAsia" w:ascii="宋体" w:hAnsi="宋体" w:cs="宋体"/>
          <w:b/>
          <w:bCs/>
          <w:snapToGrid w:val="0"/>
          <w:color w:val="000000" w:themeColor="text1"/>
          <w:kern w:val="0"/>
          <w:sz w:val="28"/>
          <w:szCs w:val="28"/>
          <w14:textFill>
            <w14:solidFill>
              <w14:schemeClr w14:val="tx1"/>
            </w14:solidFill>
          </w14:textFill>
        </w:rPr>
        <w:t>具备履行合同所必需的设备和专业技术能力的书面声明</w:t>
      </w:r>
    </w:p>
    <w:p w14:paraId="395D2777">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我单位郑重声明：我单位具备履行本项采购合同所必需的设备和专业技术能力，为履行本项采购合同我公司具备如下主要设备和主要专业技术能力：</w:t>
      </w:r>
    </w:p>
    <w:p w14:paraId="4F4C288B">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主要设备有：</w:t>
      </w:r>
      <w:r>
        <w:rPr>
          <w:rFonts w:hint="eastAsia" w:ascii="宋体" w:hAnsi="宋体" w:cs="宋体"/>
          <w:bCs/>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w:t>
      </w:r>
    </w:p>
    <w:p w14:paraId="4E7C8C10">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主要专业技术能力有：</w:t>
      </w:r>
      <w:r>
        <w:rPr>
          <w:rFonts w:hint="eastAsia" w:ascii="宋体" w:hAnsi="宋体" w:cs="宋体"/>
          <w:bCs/>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w:t>
      </w:r>
    </w:p>
    <w:p w14:paraId="7BCEAF64">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p>
    <w:p w14:paraId="4BF37F31">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供应商名称（公章）：</w:t>
      </w:r>
    </w:p>
    <w:p w14:paraId="40D8AA3B">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法定代表人签章：</w:t>
      </w:r>
    </w:p>
    <w:p w14:paraId="43AF941E">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日期：______年</w:t>
      </w:r>
      <w:r>
        <w:rPr>
          <w:rFonts w:hint="eastAsia" w:ascii="宋体" w:hAnsi="宋体" w:cs="宋体"/>
          <w:bCs/>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月</w:t>
      </w:r>
      <w:r>
        <w:rPr>
          <w:rFonts w:hint="eastAsia" w:ascii="宋体" w:hAnsi="宋体" w:cs="宋体"/>
          <w:bCs/>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日</w:t>
      </w:r>
    </w:p>
    <w:p w14:paraId="4D3676DD">
      <w:pPr>
        <w:widowControl/>
        <w:kinsoku w:val="0"/>
        <w:autoSpaceDE w:val="0"/>
        <w:autoSpaceDN w:val="0"/>
        <w:adjustRightInd w:val="0"/>
        <w:snapToGrid w:val="0"/>
        <w:spacing w:line="360" w:lineRule="auto"/>
        <w:jc w:val="center"/>
        <w:textAlignment w:val="baseline"/>
        <w:rPr>
          <w:rFonts w:ascii="宋体" w:hAnsi="宋体" w:cs="宋体"/>
          <w:b/>
          <w:bCs/>
          <w:snapToGrid w:val="0"/>
          <w:color w:val="000000" w:themeColor="text1"/>
          <w:kern w:val="0"/>
          <w:sz w:val="24"/>
          <w:szCs w:val="24"/>
          <w14:textFill>
            <w14:solidFill>
              <w14:schemeClr w14:val="tx1"/>
            </w14:solidFill>
          </w14:textFill>
        </w:rPr>
      </w:pPr>
      <w:r>
        <w:rPr>
          <w:rFonts w:hint="eastAsia" w:ascii="宋体" w:hAnsi="宋体" w:cs="宋体"/>
          <w:b/>
          <w:bCs/>
          <w:color w:val="000000" w:themeColor="text1"/>
          <w14:textFill>
            <w14:solidFill>
              <w14:schemeClr w14:val="tx1"/>
            </w14:solidFill>
          </w14:textFill>
        </w:rPr>
        <w:br w:type="page"/>
      </w:r>
      <w:r>
        <w:rPr>
          <w:rFonts w:hint="eastAsia" w:ascii="宋体" w:hAnsi="宋体" w:cs="宋体"/>
          <w:b/>
          <w:bCs/>
          <w:snapToGrid w:val="0"/>
          <w:color w:val="000000" w:themeColor="text1"/>
          <w:kern w:val="0"/>
          <w:sz w:val="24"/>
          <w:szCs w:val="24"/>
          <w14:textFill>
            <w14:solidFill>
              <w14:schemeClr w14:val="tx1"/>
            </w14:solidFill>
          </w14:textFill>
        </w:rPr>
        <w:t>参加本次政府采购活动前 3 年内在经营活动中没有重大违法记录的书面声明</w:t>
      </w:r>
    </w:p>
    <w:p w14:paraId="4A681116">
      <w:pPr>
        <w:widowControl/>
        <w:kinsoku w:val="0"/>
        <w:autoSpaceDE w:val="0"/>
        <w:autoSpaceDN w:val="0"/>
        <w:adjustRightInd w:val="0"/>
        <w:snapToGrid w:val="0"/>
        <w:spacing w:after="312" w:afterLines="100" w:line="360" w:lineRule="auto"/>
        <w:jc w:val="center"/>
        <w:textAlignment w:val="baseline"/>
        <w:rPr>
          <w:rFonts w:ascii="宋体" w:hAnsi="宋体" w:cs="宋体"/>
          <w:b/>
          <w:bCs/>
          <w:snapToGrid w:val="0"/>
          <w:color w:val="000000" w:themeColor="text1"/>
          <w:kern w:val="0"/>
          <w:sz w:val="24"/>
          <w:szCs w:val="24"/>
          <w14:textFill>
            <w14:solidFill>
              <w14:schemeClr w14:val="tx1"/>
            </w14:solidFill>
          </w14:textFill>
        </w:rPr>
      </w:pPr>
      <w:r>
        <w:rPr>
          <w:rFonts w:hint="eastAsia" w:ascii="宋体" w:hAnsi="宋体" w:cs="宋体"/>
          <w:b/>
          <w:bCs/>
          <w:snapToGrid w:val="0"/>
          <w:color w:val="000000" w:themeColor="text1"/>
          <w:kern w:val="0"/>
          <w:sz w:val="24"/>
          <w:szCs w:val="24"/>
          <w14:textFill>
            <w14:solidFill>
              <w14:schemeClr w14:val="tx1"/>
            </w14:solidFill>
          </w14:textFill>
        </w:rPr>
        <w:t>声  明</w:t>
      </w:r>
    </w:p>
    <w:p w14:paraId="302F44A3">
      <w:pPr>
        <w:widowControl/>
        <w:kinsoku w:val="0"/>
        <w:autoSpaceDE w:val="0"/>
        <w:autoSpaceDN w:val="0"/>
        <w:adjustRightInd w:val="0"/>
        <w:snapToGrid w:val="0"/>
        <w:spacing w:line="360" w:lineRule="auto"/>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
          <w:bCs/>
          <w:snapToGrid w:val="0"/>
          <w:color w:val="000000" w:themeColor="text1"/>
          <w:kern w:val="0"/>
          <w:szCs w:val="21"/>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我公司郑重声明：参加本次政府采购活动前 3 年内，我公司在经营活动中没有因违法经营受到刑事处罚或者责令停产停业、吊销许可证或者执照、较大数额罚款等行政处罚。</w:t>
      </w:r>
    </w:p>
    <w:p w14:paraId="4C7083B0">
      <w:pPr>
        <w:widowControl/>
        <w:kinsoku w:val="0"/>
        <w:autoSpaceDE w:val="0"/>
        <w:autoSpaceDN w:val="0"/>
        <w:adjustRightInd w:val="0"/>
        <w:snapToGrid w:val="0"/>
        <w:spacing w:line="360" w:lineRule="auto"/>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 xml:space="preserve">                               </w:t>
      </w:r>
    </w:p>
    <w:p w14:paraId="2212F7C7">
      <w:pPr>
        <w:widowControl/>
        <w:kinsoku w:val="0"/>
        <w:autoSpaceDE w:val="0"/>
        <w:autoSpaceDN w:val="0"/>
        <w:adjustRightInd w:val="0"/>
        <w:snapToGrid w:val="0"/>
        <w:spacing w:line="360" w:lineRule="auto"/>
        <w:ind w:firstLine="3259" w:firstLineChars="155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供应商名称（公章）：</w:t>
      </w:r>
    </w:p>
    <w:p w14:paraId="43241444">
      <w:pPr>
        <w:widowControl/>
        <w:kinsoku w:val="0"/>
        <w:autoSpaceDE w:val="0"/>
        <w:autoSpaceDN w:val="0"/>
        <w:adjustRightInd w:val="0"/>
        <w:snapToGrid w:val="0"/>
        <w:spacing w:line="360" w:lineRule="auto"/>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 xml:space="preserve">                               法定代表人签章：</w:t>
      </w:r>
    </w:p>
    <w:p w14:paraId="20AA8FD9">
      <w:pPr>
        <w:widowControl/>
        <w:kinsoku w:val="0"/>
        <w:autoSpaceDE w:val="0"/>
        <w:autoSpaceDN w:val="0"/>
        <w:adjustRightInd w:val="0"/>
        <w:snapToGrid w:val="0"/>
        <w:spacing w:line="360" w:lineRule="auto"/>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 xml:space="preserve">                               日期：______年</w:t>
      </w:r>
      <w:r>
        <w:rPr>
          <w:rFonts w:hint="eastAsia" w:ascii="宋体" w:hAnsi="宋体" w:cs="宋体"/>
          <w:bCs/>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月</w:t>
      </w:r>
      <w:r>
        <w:rPr>
          <w:rFonts w:hint="eastAsia" w:ascii="宋体" w:hAnsi="宋体" w:cs="宋体"/>
          <w:bCs/>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日</w:t>
      </w:r>
    </w:p>
    <w:p w14:paraId="1C70D11B">
      <w:pPr>
        <w:spacing w:line="360" w:lineRule="auto"/>
        <w:rPr>
          <w:rFonts w:ascii="宋体" w:hAnsi="宋体" w:cs="宋体"/>
          <w:bCs/>
          <w:color w:val="000000" w:themeColor="text1"/>
          <w14:textFill>
            <w14:solidFill>
              <w14:schemeClr w14:val="tx1"/>
            </w14:solidFill>
          </w14:textFill>
        </w:rPr>
      </w:pPr>
    </w:p>
    <w:p w14:paraId="27F99D44">
      <w:pPr>
        <w:spacing w:line="360" w:lineRule="auto"/>
        <w:rPr>
          <w:rFonts w:ascii="宋体" w:hAnsi="宋体" w:cs="宋体"/>
          <w:b/>
          <w:bCs/>
          <w:color w:val="000000" w:themeColor="text1"/>
          <w14:textFill>
            <w14:solidFill>
              <w14:schemeClr w14:val="tx1"/>
            </w14:solidFill>
          </w14:textFill>
        </w:rPr>
        <w:sectPr>
          <w:headerReference r:id="rId9" w:type="default"/>
          <w:footerReference r:id="rId10" w:type="default"/>
          <w:pgSz w:w="11906" w:h="16838"/>
          <w:pgMar w:top="1440" w:right="1800" w:bottom="1440" w:left="1800" w:header="851" w:footer="992" w:gutter="0"/>
          <w:cols w:space="720" w:num="1"/>
          <w:docGrid w:type="lines" w:linePitch="312" w:charSpace="0"/>
        </w:sectPr>
      </w:pPr>
    </w:p>
    <w:p w14:paraId="2C21FA90">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供应商信用承诺书</w:t>
      </w:r>
    </w:p>
    <w:p w14:paraId="12E5DC70">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承诺主体名称：</w:t>
      </w:r>
    </w:p>
    <w:p w14:paraId="3314C6C9">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统一社会信用代码：</w:t>
      </w:r>
    </w:p>
    <w:p w14:paraId="33302C3C">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为维护公平竞争、规范有序的市场秩序，营造诚实守信的信用环境，共同推进社会信用体系建设完善，树立企业诚信守法形象，本企业对</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项目政府采购活动郑重承诺如下:</w:t>
      </w:r>
    </w:p>
    <w:p w14:paraId="7321429C">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一、对提供给注册登记部门、行业管理部门、司法部门、行业组织以及在政府采购活动中提交的所有资料的合法性、真实性、准确性和有效性负责；</w:t>
      </w:r>
    </w:p>
    <w:p w14:paraId="2EED5819">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二、严格按照国家法律、法规和规章开展采购活动，全面履行应尽的责任和义务，全面做到履约守信，具备《中华人民共和国政府采购法》第二十二条第一款规定的条件;</w:t>
      </w:r>
    </w:p>
    <w:p w14:paraId="4134E488">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三、严格依法开展生产经营活动，主动接受行业监管，自愿接受依法开展的日常检查；违法失信经营后将自愿接受约束和惩戒，并依法承担相应责任；</w:t>
      </w:r>
    </w:p>
    <w:p w14:paraId="6C785E9B">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四、自觉接受行政管理部门、行业组织、社会公众、新闻舆论的监督；</w:t>
      </w:r>
    </w:p>
    <w:p w14:paraId="08EC88A9">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五、自觉做到自我约束、自我管理，不制假售假、商标侵权、虚假宣传、违约毁约、恶意逃债、偷税漏税、垄断和不正当竞争，维护经营者、消费者的合法权益；</w:t>
      </w:r>
    </w:p>
    <w:p w14:paraId="51D11E0C">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六、提出政府采购质疑和投诉坚持依法依规、诚实信用原则，在全国范围12个月内没有三次以上查无实据的政府采购投诉；</w:t>
      </w:r>
    </w:p>
    <w:p w14:paraId="50F3DEF2">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七、严格遵守信用信息公示相关规定，向社会公示信用信息；</w:t>
      </w:r>
    </w:p>
    <w:p w14:paraId="74C127BE">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八、在“信用中国”和“中国政府采购网”网站中无违法违规、较重或严重失信记录；</w:t>
      </w:r>
    </w:p>
    <w:p w14:paraId="1CCAB608">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九、如违反承诺，自愿接受管理部门依法给予的行政处罚，同意将违反承诺的行为作为不良记录记入信用档案，依法依规进行信息公示，并承担所产生的一切法律责任和经济损失。</w:t>
      </w:r>
    </w:p>
    <w:p w14:paraId="7C21B645">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十、本承诺书自签订之日起生效。</w:t>
      </w:r>
    </w:p>
    <w:p w14:paraId="7390F80A">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（注：法定代表人或负责人、主体名称发生变更的应当重新做出承诺。）</w:t>
      </w:r>
    </w:p>
    <w:p w14:paraId="1C5F8A18">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承诺单位（签章）： </w:t>
      </w:r>
    </w:p>
    <w:p w14:paraId="55E5D27A">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法定代表人（负责人）：</w:t>
      </w:r>
    </w:p>
    <w:p w14:paraId="7B9584DD">
      <w:pPr>
        <w:pStyle w:val="63"/>
        <w:spacing w:line="360" w:lineRule="auto"/>
        <w:ind w:firstLine="56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日期：</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年</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月</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日</w:t>
      </w:r>
    </w:p>
    <w:p w14:paraId="76EFEE2A">
      <w:pPr>
        <w:spacing w:line="360" w:lineRule="auto"/>
        <w:jc w:val="center"/>
        <w:rPr>
          <w:rFonts w:ascii="宋体" w:hAnsi="宋体" w:cs="宋体"/>
          <w:color w:val="000000" w:themeColor="text1"/>
          <w:szCs w:val="21"/>
          <w14:textFill>
            <w14:solidFill>
              <w14:schemeClr w14:val="tx1"/>
            </w14:solidFill>
          </w14:textFill>
        </w:rPr>
      </w:pPr>
    </w:p>
    <w:p w14:paraId="3C41495D">
      <w:pPr>
        <w:spacing w:line="360" w:lineRule="auto"/>
        <w:rPr>
          <w:rFonts w:ascii="宋体" w:hAnsi="宋体" w:cs="宋体"/>
          <w:b/>
          <w:bCs/>
          <w:color w:val="000000" w:themeColor="text1"/>
          <w14:textFill>
            <w14:solidFill>
              <w14:schemeClr w14:val="tx1"/>
            </w14:solidFill>
          </w14:textFill>
        </w:rPr>
        <w:sectPr>
          <w:pgSz w:w="11906" w:h="16838"/>
          <w:pgMar w:top="1440" w:right="1800" w:bottom="1440" w:left="1800" w:header="851" w:footer="992" w:gutter="0"/>
          <w:cols w:space="720" w:num="1"/>
          <w:docGrid w:type="lines" w:linePitch="312" w:charSpace="0"/>
        </w:sectPr>
      </w:pPr>
    </w:p>
    <w:p w14:paraId="6F5C90FE">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磋 商 响 应 函</w:t>
      </w:r>
    </w:p>
    <w:p w14:paraId="52D5DE1F">
      <w:pPr>
        <w:pStyle w:val="63"/>
        <w:spacing w:line="360" w:lineRule="auto"/>
        <w:ind w:firstLine="0" w:firstLineChars="0"/>
        <w:rPr>
          <w:rFonts w:ascii="宋体" w:hAnsi="宋体" w:cs="宋体"/>
          <w:color w:val="000000" w:themeColor="text1"/>
          <w:sz w:val="21"/>
          <w:szCs w:val="21"/>
          <w14:textFill>
            <w14:solidFill>
              <w14:schemeClr w14:val="tx1"/>
            </w14:solidFill>
          </w14:textFill>
        </w:rPr>
      </w:pPr>
    </w:p>
    <w:p w14:paraId="537A7DE3">
      <w:pPr>
        <w:pStyle w:val="63"/>
        <w:spacing w:line="360" w:lineRule="auto"/>
        <w:ind w:firstLine="0" w:firstLineChars="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致：（代理公司）</w:t>
      </w:r>
    </w:p>
    <w:p w14:paraId="65D3F4B7">
      <w:pPr>
        <w:pStyle w:val="63"/>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根据贵方的</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号</w:t>
      </w:r>
      <w:r>
        <w:rPr>
          <w:rFonts w:hint="eastAsia" w:ascii="宋体" w:hAnsi="宋体" w:cs="宋体"/>
          <w:color w:val="000000" w:themeColor="text1"/>
          <w:sz w:val="21"/>
          <w:szCs w:val="21"/>
          <w:u w:val="single"/>
          <w14:textFill>
            <w14:solidFill>
              <w14:schemeClr w14:val="tx1"/>
            </w14:solidFill>
          </w14:textFill>
        </w:rPr>
        <w:t xml:space="preserve">                （项目名称）</w:t>
      </w:r>
      <w:r>
        <w:rPr>
          <w:rFonts w:hint="eastAsia" w:ascii="宋体" w:hAnsi="宋体" w:cs="宋体"/>
          <w:color w:val="000000" w:themeColor="text1"/>
          <w:sz w:val="21"/>
          <w:szCs w:val="21"/>
          <w14:textFill>
            <w14:solidFill>
              <w14:schemeClr w14:val="tx1"/>
            </w14:solidFill>
          </w14:textFill>
        </w:rPr>
        <w:t>采购文件，正式授权下述签字人</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(姓名和职务)代表我方</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（供应商的名称），全权处理本次项目响应的有关事宜。</w:t>
      </w:r>
    </w:p>
    <w:p w14:paraId="319E64B7">
      <w:pPr>
        <w:pStyle w:val="63"/>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据此函，</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（签字人）兹宣布同意如下：</w:t>
      </w:r>
    </w:p>
    <w:p w14:paraId="5952AD3E">
      <w:pPr>
        <w:pStyle w:val="63"/>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1.按采购文件规定的各项要求，向买方提供所需服务。</w:t>
      </w:r>
    </w:p>
    <w:p w14:paraId="11D67C29">
      <w:pPr>
        <w:pStyle w:val="63"/>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2.我们已详细审核全部采购文件及其有效补充文件，我们知道必须放弃提出含糊不清或误解问题的权利。</w:t>
      </w:r>
    </w:p>
    <w:p w14:paraId="7692A20F">
      <w:pPr>
        <w:pStyle w:val="63"/>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3.我们同意从规定的响应文件接收截止时间起遵循本响应文件，并在规定的响应有效期期满之前均具有约束力。</w:t>
      </w:r>
    </w:p>
    <w:p w14:paraId="04BFD514">
      <w:pPr>
        <w:pStyle w:val="63"/>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4.同意向贵方提供贵方可能另外要求的与响应有关的任何证据或资料，并保证我方已提供和将要提供的文件是真实的、准确的。</w:t>
      </w:r>
    </w:p>
    <w:p w14:paraId="0E99DE14">
      <w:pPr>
        <w:pStyle w:val="63"/>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5.一旦我方成交，我方将根据采购文件的规定，严格履行合同的责任和义务，并保证在谈判文件规定的时间完成项目，交付买方验收、使用。</w:t>
      </w:r>
    </w:p>
    <w:p w14:paraId="5F62B879">
      <w:pPr>
        <w:pStyle w:val="63"/>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6.遵守采购文件中要求的收费项目和标准。</w:t>
      </w:r>
    </w:p>
    <w:p w14:paraId="1007F820">
      <w:pPr>
        <w:pStyle w:val="63"/>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7.与本响应采购有关的正式通讯地址为：</w:t>
      </w:r>
    </w:p>
    <w:p w14:paraId="506379B7">
      <w:pPr>
        <w:pStyle w:val="63"/>
        <w:spacing w:line="360" w:lineRule="auto"/>
        <w:ind w:firstLine="420"/>
        <w:rPr>
          <w:rFonts w:ascii="宋体" w:hAnsi="宋体" w:cs="宋体"/>
          <w:color w:val="000000" w:themeColor="text1"/>
          <w:sz w:val="21"/>
          <w:szCs w:val="21"/>
          <w14:textFill>
            <w14:solidFill>
              <w14:schemeClr w14:val="tx1"/>
            </w14:solidFill>
          </w14:textFill>
        </w:rPr>
      </w:pPr>
    </w:p>
    <w:p w14:paraId="5B8BC5E3">
      <w:pPr>
        <w:pStyle w:val="63"/>
        <w:spacing w:line="360" w:lineRule="auto"/>
        <w:ind w:firstLine="420"/>
        <w:rPr>
          <w:rFonts w:ascii="宋体" w:hAnsi="宋体" w:cs="宋体"/>
          <w:color w:val="000000" w:themeColor="text1"/>
          <w:sz w:val="21"/>
          <w:szCs w:val="21"/>
          <w14:textFill>
            <w14:solidFill>
              <w14:schemeClr w14:val="tx1"/>
            </w14:solidFill>
          </w14:textFill>
        </w:rPr>
      </w:pPr>
    </w:p>
    <w:p w14:paraId="4A1C078C">
      <w:pPr>
        <w:pStyle w:val="63"/>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地址：                                       邮编：</w:t>
      </w:r>
    </w:p>
    <w:p w14:paraId="60967F86">
      <w:pPr>
        <w:pStyle w:val="63"/>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电话：                                       传真：</w:t>
      </w:r>
    </w:p>
    <w:p w14:paraId="4DA10852">
      <w:pPr>
        <w:pStyle w:val="63"/>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供应商开户行：                               账户：</w:t>
      </w:r>
    </w:p>
    <w:p w14:paraId="13676E8C">
      <w:pPr>
        <w:pStyle w:val="63"/>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法定代表人姓名（签章）：                     联系电话：</w:t>
      </w:r>
    </w:p>
    <w:p w14:paraId="623323CD">
      <w:pPr>
        <w:pStyle w:val="63"/>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供应商名称（公章）：</w:t>
      </w:r>
    </w:p>
    <w:p w14:paraId="5251D4E5">
      <w:pPr>
        <w:pStyle w:val="63"/>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日期：</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年</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月</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日</w:t>
      </w:r>
    </w:p>
    <w:p w14:paraId="4853E4D5">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r>
    </w:p>
    <w:p w14:paraId="1587C109">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法人授权书</w:t>
      </w:r>
    </w:p>
    <w:p w14:paraId="5763F214">
      <w:pPr>
        <w:pStyle w:val="63"/>
        <w:spacing w:line="360" w:lineRule="auto"/>
        <w:ind w:firstLine="562"/>
        <w:jc w:val="center"/>
        <w:rPr>
          <w:rFonts w:ascii="宋体" w:hAnsi="宋体" w:cs="宋体"/>
          <w:b/>
          <w:snapToGrid w:val="0"/>
          <w:color w:val="000000" w:themeColor="text1"/>
          <w:szCs w:val="28"/>
          <w14:textFill>
            <w14:solidFill>
              <w14:schemeClr w14:val="tx1"/>
            </w14:solidFill>
          </w14:textFill>
        </w:rPr>
      </w:pPr>
    </w:p>
    <w:p w14:paraId="68EB0BB3">
      <w:pPr>
        <w:widowControl/>
        <w:tabs>
          <w:tab w:val="left" w:pos="360"/>
        </w:tabs>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本授权书声明：</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（供应商名称）授权</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(被授权人的姓名）为我方就</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（项目编号）号</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（项目名称）项目采购活动的合法代理人，以本公司名义全权处理一切与该项目采购有关的事务。</w:t>
      </w:r>
    </w:p>
    <w:p w14:paraId="0CE84FCD">
      <w:pPr>
        <w:widowControl/>
        <w:tabs>
          <w:tab w:val="left" w:pos="360"/>
        </w:tabs>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本授权书于</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年</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月</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日起生效，特此声明。</w:t>
      </w:r>
    </w:p>
    <w:p w14:paraId="0C994A7A">
      <w:pPr>
        <w:widowControl/>
        <w:tabs>
          <w:tab w:val="left" w:pos="360"/>
        </w:tabs>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被授权人姓名：</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 xml:space="preserve">       </w:t>
      </w:r>
    </w:p>
    <w:p w14:paraId="25C93D2C">
      <w:pPr>
        <w:widowControl/>
        <w:tabs>
          <w:tab w:val="left" w:pos="360"/>
        </w:tabs>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000000" w:themeColor="text1"/>
          <w:kern w:val="0"/>
          <w:szCs w:val="21"/>
          <w:u w:val="single"/>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联系电话（手机）：</w:t>
      </w:r>
      <w:r>
        <w:rPr>
          <w:rFonts w:hint="eastAsia" w:ascii="宋体" w:hAnsi="宋体" w:cs="宋体"/>
          <w:snapToGrid w:val="0"/>
          <w:color w:val="000000" w:themeColor="text1"/>
          <w:kern w:val="0"/>
          <w:szCs w:val="21"/>
          <w:u w:val="single"/>
          <w14:textFill>
            <w14:solidFill>
              <w14:schemeClr w14:val="tx1"/>
            </w14:solidFill>
          </w14:textFill>
        </w:rPr>
        <w:t xml:space="preserve">                            </w:t>
      </w:r>
    </w:p>
    <w:p w14:paraId="12E11490">
      <w:pPr>
        <w:widowControl/>
        <w:tabs>
          <w:tab w:val="left" w:pos="360"/>
        </w:tabs>
        <w:kinsoku w:val="0"/>
        <w:autoSpaceDE w:val="0"/>
        <w:autoSpaceDN w:val="0"/>
        <w:adjustRightInd w:val="0"/>
        <w:snapToGrid w:val="0"/>
        <w:spacing w:line="360" w:lineRule="auto"/>
        <w:jc w:val="left"/>
        <w:textAlignment w:val="baseline"/>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 xml:space="preserve">    单位名称：</w:t>
      </w:r>
      <w:r>
        <w:rPr>
          <w:rFonts w:hint="eastAsia" w:ascii="宋体" w:hAnsi="宋体" w:cs="宋体"/>
          <w:snapToGrid w:val="0"/>
          <w:color w:val="000000" w:themeColor="text1"/>
          <w:kern w:val="0"/>
          <w:szCs w:val="21"/>
          <w:u w:val="single"/>
          <w14:textFill>
            <w14:solidFill>
              <w14:schemeClr w14:val="tx1"/>
            </w14:solidFill>
          </w14:textFill>
        </w:rPr>
        <w:t xml:space="preserve">                                    </w:t>
      </w:r>
    </w:p>
    <w:p w14:paraId="209F5787">
      <w:pPr>
        <w:widowControl/>
        <w:tabs>
          <w:tab w:val="left" w:pos="360"/>
        </w:tabs>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000000" w:themeColor="text1"/>
          <w:kern w:val="0"/>
          <w:szCs w:val="21"/>
          <w:u w:val="single"/>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单位地址：</w:t>
      </w:r>
      <w:r>
        <w:rPr>
          <w:rFonts w:hint="eastAsia" w:ascii="宋体" w:hAnsi="宋体" w:cs="宋体"/>
          <w:snapToGrid w:val="0"/>
          <w:color w:val="000000" w:themeColor="text1"/>
          <w:kern w:val="0"/>
          <w:szCs w:val="21"/>
          <w:u w:val="single"/>
          <w14:textFill>
            <w14:solidFill>
              <w14:schemeClr w14:val="tx1"/>
            </w14:solidFill>
          </w14:textFill>
        </w:rPr>
        <w:t xml:space="preserve">                                    </w:t>
      </w:r>
    </w:p>
    <w:p w14:paraId="04759A7B">
      <w:pPr>
        <w:widowControl/>
        <w:tabs>
          <w:tab w:val="left" w:pos="360"/>
        </w:tabs>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日期：</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 xml:space="preserve"> </w:t>
      </w:r>
    </w:p>
    <w:p w14:paraId="0B426A89">
      <w:pPr>
        <w:widowControl/>
        <w:kinsoku w:val="0"/>
        <w:autoSpaceDE w:val="0"/>
        <w:autoSpaceDN w:val="0"/>
        <w:adjustRightInd w:val="0"/>
        <w:snapToGrid w:val="0"/>
        <w:spacing w:line="360" w:lineRule="auto"/>
        <w:jc w:val="left"/>
        <w:textAlignment w:val="baseline"/>
        <w:rPr>
          <w:rFonts w:ascii="宋体" w:hAnsi="宋体" w:cs="宋体"/>
          <w:bCs/>
          <w:snapToGrid w:val="0"/>
          <w:color w:val="000000" w:themeColor="text1"/>
          <w:kern w:val="0"/>
          <w:szCs w:val="21"/>
          <w14:textFill>
            <w14:solidFill>
              <w14:schemeClr w14:val="tx1"/>
            </w14:solidFill>
          </w14:textFill>
        </w:rPr>
      </w:pPr>
    </w:p>
    <w:p w14:paraId="3F86E4F0">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注：</w:t>
      </w:r>
    </w:p>
    <w:p w14:paraId="53277DFD">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1、需同时提供法定代表人和被授权人身份证复印件，如法定代表人签署响应文件则无需出具授权书，仅需提供法定代表人身份证复印件。</w:t>
      </w:r>
    </w:p>
    <w:p w14:paraId="512F1B05">
      <w:pPr>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br w:type="page"/>
      </w:r>
    </w:p>
    <w:p w14:paraId="69F49D6E">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二、符合性审查响应对照表</w:t>
      </w:r>
    </w:p>
    <w:tbl>
      <w:tblPr>
        <w:tblStyle w:val="25"/>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124"/>
      </w:tblGrid>
      <w:tr w14:paraId="29ED2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ign w:val="center"/>
          </w:tcPr>
          <w:p w14:paraId="6AE2B616">
            <w:pPr>
              <w:snapToGrid w:val="0"/>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5447" w:type="dxa"/>
            <w:noWrap/>
            <w:vAlign w:val="center"/>
          </w:tcPr>
          <w:p w14:paraId="085B9BCF">
            <w:pPr>
              <w:snapToGrid w:val="0"/>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符合性审查响应内容</w:t>
            </w:r>
          </w:p>
        </w:tc>
        <w:tc>
          <w:tcPr>
            <w:tcW w:w="1680" w:type="dxa"/>
            <w:noWrap/>
            <w:vAlign w:val="center"/>
          </w:tcPr>
          <w:p w14:paraId="16F1D50F">
            <w:pPr>
              <w:snapToGrid w:val="0"/>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是否响应</w:t>
            </w:r>
          </w:p>
          <w:p w14:paraId="7C11F7DA">
            <w:pPr>
              <w:snapToGrid w:val="0"/>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（填是或者否）</w:t>
            </w:r>
          </w:p>
        </w:tc>
        <w:tc>
          <w:tcPr>
            <w:tcW w:w="1124" w:type="dxa"/>
            <w:noWrap/>
            <w:vAlign w:val="center"/>
          </w:tcPr>
          <w:p w14:paraId="52A6849E">
            <w:pPr>
              <w:snapToGrid w:val="0"/>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响应情况</w:t>
            </w:r>
          </w:p>
        </w:tc>
      </w:tr>
      <w:tr w14:paraId="2F719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46" w:type="dxa"/>
            <w:noWrap/>
            <w:vAlign w:val="center"/>
          </w:tcPr>
          <w:p w14:paraId="3587B276">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w:t>
            </w:r>
          </w:p>
        </w:tc>
        <w:tc>
          <w:tcPr>
            <w:tcW w:w="5447" w:type="dxa"/>
            <w:noWrap/>
            <w:vAlign w:val="center"/>
          </w:tcPr>
          <w:p w14:paraId="77F9CFA3">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采购需求中必须满足的实质性要求（即加斜体下划线内容，每条详细列出）</w:t>
            </w:r>
          </w:p>
        </w:tc>
        <w:tc>
          <w:tcPr>
            <w:tcW w:w="1680" w:type="dxa"/>
            <w:noWrap/>
            <w:vAlign w:val="center"/>
          </w:tcPr>
          <w:p w14:paraId="3FCDE7DC">
            <w:pPr>
              <w:spacing w:line="360" w:lineRule="auto"/>
              <w:rPr>
                <w:rFonts w:ascii="宋体" w:hAnsi="宋体" w:cs="宋体"/>
                <w:b/>
                <w:color w:val="000000" w:themeColor="text1"/>
                <w:szCs w:val="21"/>
                <w14:textFill>
                  <w14:solidFill>
                    <w14:schemeClr w14:val="tx1"/>
                  </w14:solidFill>
                </w14:textFill>
              </w:rPr>
            </w:pPr>
          </w:p>
        </w:tc>
        <w:tc>
          <w:tcPr>
            <w:tcW w:w="1124" w:type="dxa"/>
            <w:noWrap/>
            <w:vAlign w:val="center"/>
          </w:tcPr>
          <w:p w14:paraId="2E8B947C">
            <w:pPr>
              <w:spacing w:line="360" w:lineRule="auto"/>
              <w:rPr>
                <w:rFonts w:ascii="宋体" w:hAnsi="宋体" w:cs="宋体"/>
                <w:b/>
                <w:color w:val="000000" w:themeColor="text1"/>
                <w:szCs w:val="21"/>
                <w14:textFill>
                  <w14:solidFill>
                    <w14:schemeClr w14:val="tx1"/>
                  </w14:solidFill>
                </w14:textFill>
              </w:rPr>
            </w:pPr>
          </w:p>
        </w:tc>
      </w:tr>
      <w:tr w14:paraId="4EC0F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46" w:type="dxa"/>
            <w:noWrap/>
            <w:vAlign w:val="center"/>
          </w:tcPr>
          <w:p w14:paraId="2EFDF950">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5447" w:type="dxa"/>
            <w:noWrap/>
            <w:vAlign w:val="center"/>
          </w:tcPr>
          <w:p w14:paraId="2C9A3E24">
            <w:pPr>
              <w:spacing w:line="360" w:lineRule="auto"/>
              <w:rPr>
                <w:rFonts w:ascii="宋体" w:hAnsi="宋体" w:cs="宋体"/>
                <w:iCs/>
                <w:color w:val="000000" w:themeColor="text1"/>
                <w:szCs w:val="21"/>
                <w14:textFill>
                  <w14:solidFill>
                    <w14:schemeClr w14:val="tx1"/>
                  </w14:solidFill>
                </w14:textFill>
              </w:rPr>
            </w:pPr>
          </w:p>
        </w:tc>
        <w:tc>
          <w:tcPr>
            <w:tcW w:w="1680" w:type="dxa"/>
            <w:noWrap/>
            <w:vAlign w:val="center"/>
          </w:tcPr>
          <w:p w14:paraId="493E5DE2">
            <w:pPr>
              <w:spacing w:line="360" w:lineRule="auto"/>
              <w:rPr>
                <w:rFonts w:ascii="宋体" w:hAnsi="宋体" w:cs="宋体"/>
                <w:color w:val="000000" w:themeColor="text1"/>
                <w:szCs w:val="21"/>
                <w14:textFill>
                  <w14:solidFill>
                    <w14:schemeClr w14:val="tx1"/>
                  </w14:solidFill>
                </w14:textFill>
              </w:rPr>
            </w:pPr>
          </w:p>
        </w:tc>
        <w:tc>
          <w:tcPr>
            <w:tcW w:w="1124" w:type="dxa"/>
            <w:noWrap/>
            <w:vAlign w:val="center"/>
          </w:tcPr>
          <w:p w14:paraId="3CDFE296">
            <w:pPr>
              <w:spacing w:line="360" w:lineRule="auto"/>
              <w:rPr>
                <w:rFonts w:ascii="宋体" w:hAnsi="宋体" w:cs="宋体"/>
                <w:color w:val="000000" w:themeColor="text1"/>
                <w:szCs w:val="21"/>
                <w14:textFill>
                  <w14:solidFill>
                    <w14:schemeClr w14:val="tx1"/>
                  </w14:solidFill>
                </w14:textFill>
              </w:rPr>
            </w:pPr>
          </w:p>
        </w:tc>
      </w:tr>
      <w:tr w14:paraId="37C95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46" w:type="dxa"/>
            <w:noWrap/>
            <w:vAlign w:val="center"/>
          </w:tcPr>
          <w:p w14:paraId="7E35F889">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5447" w:type="dxa"/>
            <w:noWrap/>
            <w:vAlign w:val="center"/>
          </w:tcPr>
          <w:p w14:paraId="0CE298CA">
            <w:pPr>
              <w:spacing w:line="360" w:lineRule="auto"/>
              <w:rPr>
                <w:rFonts w:ascii="宋体" w:hAnsi="宋体" w:cs="宋体"/>
                <w:iCs/>
                <w:color w:val="000000" w:themeColor="text1"/>
                <w:szCs w:val="21"/>
                <w14:textFill>
                  <w14:solidFill>
                    <w14:schemeClr w14:val="tx1"/>
                  </w14:solidFill>
                </w14:textFill>
              </w:rPr>
            </w:pPr>
          </w:p>
        </w:tc>
        <w:tc>
          <w:tcPr>
            <w:tcW w:w="1680" w:type="dxa"/>
            <w:noWrap/>
            <w:vAlign w:val="center"/>
          </w:tcPr>
          <w:p w14:paraId="15B99591">
            <w:pPr>
              <w:spacing w:line="360" w:lineRule="auto"/>
              <w:rPr>
                <w:rFonts w:ascii="宋体" w:hAnsi="宋体" w:cs="宋体"/>
                <w:color w:val="000000" w:themeColor="text1"/>
                <w:szCs w:val="21"/>
                <w14:textFill>
                  <w14:solidFill>
                    <w14:schemeClr w14:val="tx1"/>
                  </w14:solidFill>
                </w14:textFill>
              </w:rPr>
            </w:pPr>
          </w:p>
        </w:tc>
        <w:tc>
          <w:tcPr>
            <w:tcW w:w="1124" w:type="dxa"/>
            <w:noWrap/>
            <w:vAlign w:val="center"/>
          </w:tcPr>
          <w:p w14:paraId="7E55EDDD">
            <w:pPr>
              <w:spacing w:line="360" w:lineRule="auto"/>
              <w:rPr>
                <w:rFonts w:ascii="宋体" w:hAnsi="宋体" w:cs="宋体"/>
                <w:color w:val="000000" w:themeColor="text1"/>
                <w:szCs w:val="21"/>
                <w14:textFill>
                  <w14:solidFill>
                    <w14:schemeClr w14:val="tx1"/>
                  </w14:solidFill>
                </w14:textFill>
              </w:rPr>
            </w:pPr>
          </w:p>
        </w:tc>
      </w:tr>
      <w:tr w14:paraId="4E91C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46" w:type="dxa"/>
            <w:noWrap/>
            <w:vAlign w:val="center"/>
          </w:tcPr>
          <w:p w14:paraId="30341A88">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5447" w:type="dxa"/>
            <w:noWrap/>
            <w:vAlign w:val="center"/>
          </w:tcPr>
          <w:p w14:paraId="5D11667F">
            <w:pPr>
              <w:spacing w:line="360" w:lineRule="auto"/>
              <w:rPr>
                <w:rFonts w:ascii="宋体" w:hAnsi="宋体" w:cs="宋体"/>
                <w:iCs/>
                <w:color w:val="000000" w:themeColor="text1"/>
                <w:szCs w:val="21"/>
                <w14:textFill>
                  <w14:solidFill>
                    <w14:schemeClr w14:val="tx1"/>
                  </w14:solidFill>
                </w14:textFill>
              </w:rPr>
            </w:pPr>
          </w:p>
        </w:tc>
        <w:tc>
          <w:tcPr>
            <w:tcW w:w="1680" w:type="dxa"/>
            <w:noWrap/>
            <w:vAlign w:val="center"/>
          </w:tcPr>
          <w:p w14:paraId="0D847EC5">
            <w:pPr>
              <w:spacing w:line="360" w:lineRule="auto"/>
              <w:rPr>
                <w:rFonts w:ascii="宋体" w:hAnsi="宋体" w:cs="宋体"/>
                <w:color w:val="000000" w:themeColor="text1"/>
                <w:szCs w:val="21"/>
                <w14:textFill>
                  <w14:solidFill>
                    <w14:schemeClr w14:val="tx1"/>
                  </w14:solidFill>
                </w14:textFill>
              </w:rPr>
            </w:pPr>
          </w:p>
        </w:tc>
        <w:tc>
          <w:tcPr>
            <w:tcW w:w="1124" w:type="dxa"/>
            <w:noWrap/>
            <w:vAlign w:val="center"/>
          </w:tcPr>
          <w:p w14:paraId="2ED8CA9C">
            <w:pPr>
              <w:spacing w:line="360" w:lineRule="auto"/>
              <w:rPr>
                <w:rFonts w:ascii="宋体" w:hAnsi="宋体" w:cs="宋体"/>
                <w:color w:val="000000" w:themeColor="text1"/>
                <w:szCs w:val="21"/>
                <w14:textFill>
                  <w14:solidFill>
                    <w14:schemeClr w14:val="tx1"/>
                  </w14:solidFill>
                </w14:textFill>
              </w:rPr>
            </w:pPr>
          </w:p>
        </w:tc>
      </w:tr>
      <w:tr w14:paraId="708FB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46" w:type="dxa"/>
            <w:noWrap/>
            <w:vAlign w:val="center"/>
          </w:tcPr>
          <w:p w14:paraId="268564B6">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5447" w:type="dxa"/>
            <w:noWrap/>
            <w:vAlign w:val="center"/>
          </w:tcPr>
          <w:p w14:paraId="0CD096A7">
            <w:pPr>
              <w:snapToGrid w:val="0"/>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w:t>
            </w:r>
          </w:p>
        </w:tc>
        <w:tc>
          <w:tcPr>
            <w:tcW w:w="1680" w:type="dxa"/>
            <w:noWrap/>
            <w:vAlign w:val="center"/>
          </w:tcPr>
          <w:p w14:paraId="461295DD">
            <w:pPr>
              <w:spacing w:line="360" w:lineRule="auto"/>
              <w:rPr>
                <w:rFonts w:ascii="宋体" w:hAnsi="宋体" w:cs="宋体"/>
                <w:color w:val="000000" w:themeColor="text1"/>
                <w:szCs w:val="21"/>
                <w14:textFill>
                  <w14:solidFill>
                    <w14:schemeClr w14:val="tx1"/>
                  </w14:solidFill>
                </w14:textFill>
              </w:rPr>
            </w:pPr>
          </w:p>
        </w:tc>
        <w:tc>
          <w:tcPr>
            <w:tcW w:w="1124" w:type="dxa"/>
            <w:noWrap/>
            <w:vAlign w:val="center"/>
          </w:tcPr>
          <w:p w14:paraId="20F7FDC9">
            <w:pPr>
              <w:spacing w:line="360" w:lineRule="auto"/>
              <w:rPr>
                <w:rFonts w:ascii="宋体" w:hAnsi="宋体" w:cs="宋体"/>
                <w:color w:val="000000" w:themeColor="text1"/>
                <w:szCs w:val="21"/>
                <w14:textFill>
                  <w14:solidFill>
                    <w14:schemeClr w14:val="tx1"/>
                  </w14:solidFill>
                </w14:textFill>
              </w:rPr>
            </w:pPr>
          </w:p>
        </w:tc>
      </w:tr>
    </w:tbl>
    <w:p w14:paraId="48F308BD">
      <w:pPr>
        <w:adjustRightInd w:val="0"/>
        <w:spacing w:line="360" w:lineRule="auto"/>
        <w:contextualSpacing/>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br w:type="page"/>
      </w:r>
    </w:p>
    <w:p w14:paraId="45FCF088">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三、非实质性响应对照表</w:t>
      </w:r>
    </w:p>
    <w:p w14:paraId="33960156">
      <w:pPr>
        <w:spacing w:line="360" w:lineRule="auto"/>
        <w:rPr>
          <w:rFonts w:ascii="宋体" w:hAnsi="宋体" w:cs="宋体"/>
          <w:b/>
          <w:color w:val="000000" w:themeColor="text1"/>
          <w:sz w:val="32"/>
          <w:szCs w:val="32"/>
          <w14:textFill>
            <w14:solidFill>
              <w14:schemeClr w14:val="tx1"/>
            </w14:solidFill>
          </w14:textFill>
        </w:rPr>
      </w:pP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14:paraId="2B16F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ign w:val="center"/>
          </w:tcPr>
          <w:p w14:paraId="1D27100D">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5447" w:type="dxa"/>
            <w:noWrap/>
            <w:vAlign w:val="center"/>
          </w:tcPr>
          <w:p w14:paraId="2093A972">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非实质性响应内容</w:t>
            </w:r>
          </w:p>
        </w:tc>
        <w:tc>
          <w:tcPr>
            <w:tcW w:w="1680" w:type="dxa"/>
            <w:noWrap/>
            <w:vAlign w:val="center"/>
          </w:tcPr>
          <w:p w14:paraId="33C567BC">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是否响应</w:t>
            </w:r>
          </w:p>
          <w:p w14:paraId="0B46D140">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（填是或者否）</w:t>
            </w:r>
          </w:p>
        </w:tc>
        <w:tc>
          <w:tcPr>
            <w:tcW w:w="1308" w:type="dxa"/>
            <w:noWrap/>
            <w:vAlign w:val="center"/>
          </w:tcPr>
          <w:p w14:paraId="4FBF5964">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响应情况</w:t>
            </w:r>
          </w:p>
        </w:tc>
      </w:tr>
      <w:tr w14:paraId="65C56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ign w:val="center"/>
          </w:tcPr>
          <w:p w14:paraId="49B96E40">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w:t>
            </w:r>
          </w:p>
        </w:tc>
        <w:tc>
          <w:tcPr>
            <w:tcW w:w="5447" w:type="dxa"/>
            <w:noWrap/>
            <w:vAlign w:val="center"/>
          </w:tcPr>
          <w:p w14:paraId="5DC8C9D1">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《企业声明函》</w:t>
            </w:r>
          </w:p>
        </w:tc>
        <w:tc>
          <w:tcPr>
            <w:tcW w:w="1680" w:type="dxa"/>
            <w:noWrap/>
            <w:vAlign w:val="center"/>
          </w:tcPr>
          <w:p w14:paraId="616BF1E4">
            <w:pPr>
              <w:spacing w:line="360" w:lineRule="auto"/>
              <w:rPr>
                <w:rFonts w:ascii="宋体" w:hAnsi="宋体" w:cs="宋体"/>
                <w:b/>
                <w:color w:val="000000" w:themeColor="text1"/>
                <w:szCs w:val="21"/>
                <w14:textFill>
                  <w14:solidFill>
                    <w14:schemeClr w14:val="tx1"/>
                  </w14:solidFill>
                </w14:textFill>
              </w:rPr>
            </w:pPr>
          </w:p>
        </w:tc>
        <w:tc>
          <w:tcPr>
            <w:tcW w:w="1308" w:type="dxa"/>
            <w:noWrap/>
            <w:vAlign w:val="center"/>
          </w:tcPr>
          <w:p w14:paraId="5E3E2EC0">
            <w:pPr>
              <w:spacing w:line="360" w:lineRule="auto"/>
              <w:rPr>
                <w:rFonts w:ascii="宋体" w:hAnsi="宋体" w:cs="宋体"/>
                <w:b/>
                <w:color w:val="000000" w:themeColor="text1"/>
                <w:szCs w:val="21"/>
                <w14:textFill>
                  <w14:solidFill>
                    <w14:schemeClr w14:val="tx1"/>
                  </w14:solidFill>
                </w14:textFill>
              </w:rPr>
            </w:pPr>
          </w:p>
        </w:tc>
      </w:tr>
      <w:tr w14:paraId="4D435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ign w:val="center"/>
          </w:tcPr>
          <w:p w14:paraId="256C0C0D">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5447" w:type="dxa"/>
            <w:noWrap/>
            <w:vAlign w:val="center"/>
          </w:tcPr>
          <w:p w14:paraId="4C0C6095">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《残疾人福利性单位声明函》</w:t>
            </w:r>
          </w:p>
        </w:tc>
        <w:tc>
          <w:tcPr>
            <w:tcW w:w="1680" w:type="dxa"/>
            <w:noWrap/>
            <w:vAlign w:val="center"/>
          </w:tcPr>
          <w:p w14:paraId="22F7EF1B">
            <w:pPr>
              <w:spacing w:line="360" w:lineRule="auto"/>
              <w:rPr>
                <w:rFonts w:ascii="宋体" w:hAnsi="宋体" w:cs="宋体"/>
                <w:color w:val="000000" w:themeColor="text1"/>
                <w:szCs w:val="21"/>
                <w14:textFill>
                  <w14:solidFill>
                    <w14:schemeClr w14:val="tx1"/>
                  </w14:solidFill>
                </w14:textFill>
              </w:rPr>
            </w:pPr>
          </w:p>
        </w:tc>
        <w:tc>
          <w:tcPr>
            <w:tcW w:w="1308" w:type="dxa"/>
            <w:noWrap/>
            <w:vAlign w:val="center"/>
          </w:tcPr>
          <w:p w14:paraId="124822D1">
            <w:pPr>
              <w:spacing w:line="360" w:lineRule="auto"/>
              <w:rPr>
                <w:rFonts w:ascii="宋体" w:hAnsi="宋体" w:cs="宋体"/>
                <w:color w:val="000000" w:themeColor="text1"/>
                <w:szCs w:val="21"/>
                <w14:textFill>
                  <w14:solidFill>
                    <w14:schemeClr w14:val="tx1"/>
                  </w14:solidFill>
                </w14:textFill>
              </w:rPr>
            </w:pPr>
          </w:p>
        </w:tc>
      </w:tr>
      <w:tr w14:paraId="202F5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ign w:val="center"/>
          </w:tcPr>
          <w:p w14:paraId="686DBBA9">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5447" w:type="dxa"/>
            <w:noWrap/>
            <w:vAlign w:val="center"/>
          </w:tcPr>
          <w:p w14:paraId="6D054E2A">
            <w:pPr>
              <w:snapToGrid w:val="0"/>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w:t>
            </w:r>
          </w:p>
        </w:tc>
        <w:tc>
          <w:tcPr>
            <w:tcW w:w="1680" w:type="dxa"/>
            <w:noWrap/>
            <w:vAlign w:val="center"/>
          </w:tcPr>
          <w:p w14:paraId="4B20C5E5">
            <w:pPr>
              <w:spacing w:line="360" w:lineRule="auto"/>
              <w:rPr>
                <w:rFonts w:ascii="宋体" w:hAnsi="宋体" w:cs="宋体"/>
                <w:color w:val="000000" w:themeColor="text1"/>
                <w:szCs w:val="21"/>
                <w14:textFill>
                  <w14:solidFill>
                    <w14:schemeClr w14:val="tx1"/>
                  </w14:solidFill>
                </w14:textFill>
              </w:rPr>
            </w:pPr>
          </w:p>
        </w:tc>
        <w:tc>
          <w:tcPr>
            <w:tcW w:w="1308" w:type="dxa"/>
            <w:noWrap/>
            <w:vAlign w:val="center"/>
          </w:tcPr>
          <w:p w14:paraId="574C1563">
            <w:pPr>
              <w:spacing w:line="360" w:lineRule="auto"/>
              <w:rPr>
                <w:rFonts w:ascii="宋体" w:hAnsi="宋体" w:cs="宋体"/>
                <w:color w:val="000000" w:themeColor="text1"/>
                <w:szCs w:val="21"/>
                <w14:textFill>
                  <w14:solidFill>
                    <w14:schemeClr w14:val="tx1"/>
                  </w14:solidFill>
                </w14:textFill>
              </w:rPr>
            </w:pPr>
          </w:p>
        </w:tc>
      </w:tr>
    </w:tbl>
    <w:p w14:paraId="6517786A">
      <w:pPr>
        <w:widowControl/>
        <w:spacing w:line="360" w:lineRule="auto"/>
        <w:jc w:val="left"/>
        <w:rPr>
          <w:rFonts w:ascii="宋体" w:hAnsi="宋体" w:cs="宋体"/>
          <w:b/>
          <w:bCs/>
          <w:color w:val="000000" w:themeColor="text1"/>
          <w14:textFill>
            <w14:solidFill>
              <w14:schemeClr w14:val="tx1"/>
            </w14:solidFill>
          </w14:textFill>
        </w:rPr>
      </w:pPr>
    </w:p>
    <w:p w14:paraId="449983BA">
      <w:pPr>
        <w:spacing w:line="360" w:lineRule="auto"/>
        <w:jc w:val="center"/>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14:textFill>
            <w14:solidFill>
              <w14:schemeClr w14:val="tx1"/>
            </w14:solidFill>
          </w14:textFill>
        </w:rPr>
        <w:br w:type="page"/>
      </w:r>
      <w:r>
        <w:rPr>
          <w:rFonts w:hint="eastAsia" w:ascii="宋体" w:hAnsi="宋体" w:cs="宋体"/>
          <w:b/>
          <w:color w:val="000000" w:themeColor="text1"/>
          <w:sz w:val="28"/>
          <w:szCs w:val="28"/>
          <w14:textFill>
            <w14:solidFill>
              <w14:schemeClr w14:val="tx1"/>
            </w14:solidFill>
          </w14:textFill>
        </w:rPr>
        <w:t>中小企业声明函（工程、服务）</w:t>
      </w:r>
    </w:p>
    <w:p w14:paraId="06217A18">
      <w:pPr>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本公司（联合体）郑重声明，根据《政府采购促进中小企业发展管理办法》（财库﹝2020﹞46号）的规定，本公司（联合体）参加</w:t>
      </w:r>
      <w:r>
        <w:rPr>
          <w:rFonts w:hint="eastAsia" w:ascii="宋体" w:hAnsi="宋体" w:cs="宋体"/>
          <w:color w:val="000000" w:themeColor="text1"/>
          <w:u w:val="single"/>
          <w14:textFill>
            <w14:solidFill>
              <w14:schemeClr w14:val="tx1"/>
            </w14:solidFill>
          </w14:textFill>
        </w:rPr>
        <w:t>（单位名称）</w:t>
      </w:r>
      <w:r>
        <w:rPr>
          <w:rFonts w:hint="eastAsia" w:ascii="宋体" w:hAnsi="宋体" w:cs="宋体"/>
          <w:color w:val="000000" w:themeColor="text1"/>
          <w14:textFill>
            <w14:solidFill>
              <w14:schemeClr w14:val="tx1"/>
            </w14:solidFill>
          </w14:textFill>
        </w:rPr>
        <w:t>的</w:t>
      </w:r>
      <w:r>
        <w:rPr>
          <w:rFonts w:hint="eastAsia" w:ascii="宋体" w:hAnsi="宋体" w:cs="宋体"/>
          <w:color w:val="000000" w:themeColor="text1"/>
          <w:u w:val="single"/>
          <w14:textFill>
            <w14:solidFill>
              <w14:schemeClr w14:val="tx1"/>
            </w14:solidFill>
          </w14:textFill>
        </w:rPr>
        <w:t>（项目名称）</w:t>
      </w:r>
      <w:r>
        <w:rPr>
          <w:rFonts w:hint="eastAsia" w:ascii="宋体" w:hAnsi="宋体" w:cs="宋体"/>
          <w:color w:val="000000" w:themeColor="text1"/>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0E7192BB">
      <w:pPr>
        <w:spacing w:line="360" w:lineRule="auto"/>
        <w:ind w:firstLine="420" w:firstLineChars="200"/>
        <w:jc w:val="lef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1.</w:t>
      </w:r>
      <w:r>
        <w:rPr>
          <w:rFonts w:hint="eastAsia" w:ascii="宋体" w:hAnsi="宋体" w:cs="宋体"/>
          <w:color w:val="000000" w:themeColor="text1"/>
          <w:u w:val="single"/>
          <w14:textFill>
            <w14:solidFill>
              <w14:schemeClr w14:val="tx1"/>
            </w14:solidFill>
          </w14:textFill>
        </w:rPr>
        <w:t>（标的名称）</w:t>
      </w:r>
      <w:r>
        <w:rPr>
          <w:rFonts w:hint="eastAsia" w:ascii="宋体" w:hAnsi="宋体" w:cs="宋体"/>
          <w:color w:val="000000" w:themeColor="text1"/>
          <w14:textFill>
            <w14:solidFill>
              <w14:schemeClr w14:val="tx1"/>
            </w14:solidFill>
          </w14:textFill>
        </w:rPr>
        <w:t>，属于</w:t>
      </w:r>
      <w:r>
        <w:rPr>
          <w:rFonts w:hint="eastAsia" w:ascii="宋体" w:hAnsi="宋体" w:cs="宋体"/>
          <w:b/>
          <w:bCs/>
          <w:color w:val="000000" w:themeColor="text1"/>
          <w:u w:val="single"/>
          <w14:textFill>
            <w14:solidFill>
              <w14:schemeClr w14:val="tx1"/>
            </w14:solidFill>
          </w14:textFill>
        </w:rPr>
        <w:t>建筑业</w:t>
      </w:r>
      <w:r>
        <w:rPr>
          <w:rFonts w:hint="eastAsia" w:ascii="宋体" w:hAnsi="宋体" w:cs="宋体"/>
          <w:color w:val="000000" w:themeColor="text1"/>
          <w:u w:val="single"/>
          <w14:textFill>
            <w14:solidFill>
              <w14:schemeClr w14:val="tx1"/>
            </w14:solidFill>
          </w14:textFill>
        </w:rPr>
        <w:t>（采购文件中明确的所属行业</w:t>
      </w:r>
      <w:r>
        <w:rPr>
          <w:rFonts w:hint="eastAsia" w:ascii="宋体" w:hAnsi="宋体" w:cs="宋体"/>
          <w:bCs/>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承建（承接）企业为</w:t>
      </w:r>
      <w:r>
        <w:rPr>
          <w:rFonts w:hint="eastAsia" w:ascii="宋体" w:hAnsi="宋体" w:cs="宋体"/>
          <w:color w:val="000000" w:themeColor="text1"/>
          <w:u w:val="single"/>
          <w14:textFill>
            <w14:solidFill>
              <w14:schemeClr w14:val="tx1"/>
            </w14:solidFill>
          </w14:textFill>
        </w:rPr>
        <w:t>（企业名称）</w:t>
      </w:r>
      <w:r>
        <w:rPr>
          <w:rFonts w:hint="eastAsia" w:ascii="宋体" w:hAnsi="宋体" w:cs="宋体"/>
          <w:color w:val="000000" w:themeColor="text1"/>
          <w14:textFill>
            <w14:solidFill>
              <w14:schemeClr w14:val="tx1"/>
            </w14:solidFill>
          </w14:textFill>
        </w:rPr>
        <w:t>，从业人员</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人，营业收入为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万元，资产总额为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万元，属于</w:t>
      </w:r>
      <w:r>
        <w:rPr>
          <w:rFonts w:hint="eastAsia" w:ascii="宋体" w:hAnsi="宋体" w:cs="宋体"/>
          <w:color w:val="000000" w:themeColor="text1"/>
          <w:u w:val="single"/>
          <w14:textFill>
            <w14:solidFill>
              <w14:schemeClr w14:val="tx1"/>
            </w14:solidFill>
          </w14:textFill>
        </w:rPr>
        <w:t>（中型企业、小型企业、微型企业）；</w:t>
      </w:r>
    </w:p>
    <w:p w14:paraId="6CD5FD4A">
      <w:pPr>
        <w:spacing w:line="360" w:lineRule="auto"/>
        <w:ind w:firstLine="420" w:firstLineChars="200"/>
        <w:jc w:val="lef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2.</w:t>
      </w:r>
      <w:r>
        <w:rPr>
          <w:rFonts w:hint="eastAsia" w:ascii="宋体" w:hAnsi="宋体" w:cs="宋体"/>
          <w:color w:val="000000" w:themeColor="text1"/>
          <w:u w:val="single"/>
          <w14:textFill>
            <w14:solidFill>
              <w14:schemeClr w14:val="tx1"/>
            </w14:solidFill>
          </w14:textFill>
        </w:rPr>
        <w:t>（标的名称）</w:t>
      </w:r>
      <w:r>
        <w:rPr>
          <w:rFonts w:hint="eastAsia" w:ascii="宋体" w:hAnsi="宋体" w:cs="宋体"/>
          <w:color w:val="000000" w:themeColor="text1"/>
          <w14:textFill>
            <w14:solidFill>
              <w14:schemeClr w14:val="tx1"/>
            </w14:solidFill>
          </w14:textFill>
        </w:rPr>
        <w:t>，属于</w:t>
      </w:r>
      <w:r>
        <w:rPr>
          <w:rFonts w:hint="eastAsia" w:ascii="宋体" w:hAnsi="宋体" w:cs="宋体"/>
          <w:color w:val="000000" w:themeColor="text1"/>
          <w:u w:val="single"/>
          <w14:textFill>
            <w14:solidFill>
              <w14:schemeClr w14:val="tx1"/>
            </w14:solidFill>
          </w14:textFill>
        </w:rPr>
        <w:t>（采购文件中明确的所属行业（该行业类别不可修改））</w:t>
      </w:r>
      <w:r>
        <w:rPr>
          <w:rFonts w:hint="eastAsia" w:ascii="宋体" w:hAnsi="宋体" w:cs="宋体"/>
          <w:color w:val="000000" w:themeColor="text1"/>
          <w14:textFill>
            <w14:solidFill>
              <w14:schemeClr w14:val="tx1"/>
            </w14:solidFill>
          </w14:textFill>
        </w:rPr>
        <w:t>；承建（承接）企业为</w:t>
      </w:r>
      <w:r>
        <w:rPr>
          <w:rFonts w:hint="eastAsia" w:ascii="宋体" w:hAnsi="宋体" w:cs="宋体"/>
          <w:color w:val="000000" w:themeColor="text1"/>
          <w:u w:val="single"/>
          <w14:textFill>
            <w14:solidFill>
              <w14:schemeClr w14:val="tx1"/>
            </w14:solidFill>
          </w14:textFill>
        </w:rPr>
        <w:t>（企业名称）</w:t>
      </w:r>
      <w:r>
        <w:rPr>
          <w:rFonts w:hint="eastAsia" w:ascii="宋体" w:hAnsi="宋体" w:cs="宋体"/>
          <w:color w:val="000000" w:themeColor="text1"/>
          <w14:textFill>
            <w14:solidFill>
              <w14:schemeClr w14:val="tx1"/>
            </w14:solidFill>
          </w14:textFill>
        </w:rPr>
        <w:t>，从业人员</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人，营业收入为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万元，资产总额为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万元，属于</w:t>
      </w:r>
      <w:r>
        <w:rPr>
          <w:rFonts w:hint="eastAsia" w:ascii="宋体" w:hAnsi="宋体" w:cs="宋体"/>
          <w:color w:val="000000" w:themeColor="text1"/>
          <w:u w:val="single"/>
          <w14:textFill>
            <w14:solidFill>
              <w14:schemeClr w14:val="tx1"/>
            </w14:solidFill>
          </w14:textFill>
        </w:rPr>
        <w:t>（中型企业、小型企业、微型企业）；</w:t>
      </w:r>
    </w:p>
    <w:p w14:paraId="79E58349">
      <w:pPr>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以上企业，不属于大企业的分支机构，不存在控股股东为大企业的情形，也不存在与大企业的负责人为同一人的情形。</w:t>
      </w:r>
    </w:p>
    <w:p w14:paraId="49B13A29">
      <w:pPr>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本企业对上述声明内容的真实性负责。如有虚假，将依法承担相应责任。</w:t>
      </w:r>
    </w:p>
    <w:p w14:paraId="17583776">
      <w:pPr>
        <w:spacing w:line="360" w:lineRule="auto"/>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注</w:t>
      </w:r>
      <w:r>
        <w:rPr>
          <w:rFonts w:hint="eastAsia" w:ascii="宋体" w:hAnsi="宋体" w:cs="宋体"/>
          <w:color w:val="000000" w:themeColor="text1"/>
          <w14:textFill>
            <w14:solidFill>
              <w14:schemeClr w14:val="tx1"/>
            </w14:solidFill>
          </w14:textFill>
        </w:rPr>
        <w:t>：1、从业人员、营业收入、资产总额填报上一年度数据，无上一年度数据的新成立企业可不填报。</w:t>
      </w:r>
    </w:p>
    <w:p w14:paraId="6F16E3C1">
      <w:pPr>
        <w:spacing w:line="360" w:lineRule="auto"/>
        <w:ind w:firstLine="4620" w:firstLineChars="2200"/>
        <w:jc w:val="left"/>
        <w:rPr>
          <w:rFonts w:ascii="宋体" w:hAnsi="宋体" w:cs="宋体"/>
          <w:color w:val="000000" w:themeColor="text1"/>
          <w14:textFill>
            <w14:solidFill>
              <w14:schemeClr w14:val="tx1"/>
            </w14:solidFill>
          </w14:textFill>
        </w:rPr>
      </w:pPr>
    </w:p>
    <w:p w14:paraId="17B6C949">
      <w:pPr>
        <w:spacing w:line="360" w:lineRule="auto"/>
        <w:ind w:firstLine="4620" w:firstLineChars="2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企业名称（盖章）：</w:t>
      </w:r>
    </w:p>
    <w:p w14:paraId="63345DC1">
      <w:pPr>
        <w:spacing w:line="360" w:lineRule="auto"/>
        <w:ind w:firstLine="4620" w:firstLineChars="2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日期：</w:t>
      </w:r>
    </w:p>
    <w:p w14:paraId="0BBF5F3E">
      <w:pPr>
        <w:spacing w:line="360" w:lineRule="auto"/>
        <w:ind w:firstLine="4620" w:firstLineChars="2200"/>
        <w:jc w:val="left"/>
        <w:rPr>
          <w:rFonts w:ascii="宋体" w:hAnsi="宋体" w:cs="宋体"/>
          <w:color w:val="000000" w:themeColor="text1"/>
          <w14:textFill>
            <w14:solidFill>
              <w14:schemeClr w14:val="tx1"/>
            </w14:solidFill>
          </w14:textFill>
        </w:rPr>
      </w:pPr>
    </w:p>
    <w:p w14:paraId="24606455">
      <w:pPr>
        <w:widowControl/>
        <w:autoSpaceDE w:val="0"/>
        <w:autoSpaceDN w:val="0"/>
        <w:spacing w:before="300" w:after="300" w:line="360" w:lineRule="auto"/>
        <w:ind w:left="232"/>
        <w:jc w:val="center"/>
        <w:outlineLvl w:val="1"/>
        <w:rPr>
          <w:rFonts w:ascii="宋体" w:hAnsi="宋体" w:cs="宋体"/>
          <w:b/>
          <w:bCs/>
          <w:color w:val="000000" w:themeColor="text1"/>
          <w:kern w:val="0"/>
          <w:szCs w:val="21"/>
          <w:lang w:val="zh-CN" w:bidi="zh-CN"/>
          <w14:textFill>
            <w14:solidFill>
              <w14:schemeClr w14:val="tx1"/>
            </w14:solidFill>
          </w14:textFill>
        </w:rPr>
      </w:pPr>
      <w:r>
        <w:rPr>
          <w:rStyle w:val="27"/>
          <w:rFonts w:hint="eastAsia" w:ascii="宋体" w:hAnsi="宋体" w:cs="宋体"/>
          <w:color w:val="000000" w:themeColor="text1"/>
          <w:szCs w:val="21"/>
          <w14:textFill>
            <w14:solidFill>
              <w14:schemeClr w14:val="tx1"/>
            </w14:solidFill>
          </w14:textFill>
        </w:rPr>
        <w:br w:type="page"/>
      </w:r>
      <w:bookmarkStart w:id="36" w:name="_Toc109304977"/>
      <w:r>
        <w:rPr>
          <w:rFonts w:hint="eastAsia" w:ascii="宋体" w:hAnsi="宋体" w:cs="宋体"/>
          <w:b/>
          <w:color w:val="000000" w:themeColor="text1"/>
          <w:kern w:val="0"/>
          <w:sz w:val="32"/>
          <w:szCs w:val="32"/>
          <w:lang w:val="zh-CN" w:bidi="zh-CN"/>
          <w14:textFill>
            <w14:solidFill>
              <w14:schemeClr w14:val="tx1"/>
            </w14:solidFill>
          </w14:textFill>
        </w:rPr>
        <w:t>中小微企业划型标准</w:t>
      </w:r>
      <w:bookmarkEnd w:id="36"/>
      <w:r>
        <w:rPr>
          <w:rFonts w:hint="eastAsia" w:ascii="宋体" w:hAnsi="宋体" w:cs="宋体"/>
          <w:b/>
          <w:color w:val="000000" w:themeColor="text1"/>
          <w:kern w:val="0"/>
          <w:szCs w:val="21"/>
          <w:lang w:val="zh-CN" w:bidi="zh-CN"/>
          <w14:textFill>
            <w14:solidFill>
              <w14:schemeClr w14:val="tx1"/>
            </w14:solidFill>
          </w14:textFill>
        </w:rPr>
        <w:t> </w:t>
      </w:r>
    </w:p>
    <w:p w14:paraId="66E86EB2">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中小微企业划型标准如下：</w:t>
      </w:r>
    </w:p>
    <w:tbl>
      <w:tblPr>
        <w:tblStyle w:val="25"/>
        <w:tblW w:w="9705"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58"/>
        <w:gridCol w:w="1843"/>
        <w:gridCol w:w="851"/>
        <w:gridCol w:w="2302"/>
        <w:gridCol w:w="1909"/>
        <w:gridCol w:w="1342"/>
      </w:tblGrid>
      <w:tr w14:paraId="7CC8830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2" w:hRule="atLeast"/>
          <w:tblCellSpacing w:w="15" w:type="dxa"/>
          <w:jc w:val="center"/>
        </w:trPr>
        <w:tc>
          <w:tcPr>
            <w:tcW w:w="1413"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14:paraId="101F753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行业名称</w:t>
            </w:r>
          </w:p>
        </w:tc>
        <w:tc>
          <w:tcPr>
            <w:tcW w:w="1813"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0212DA1C">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指标名称</w:t>
            </w:r>
          </w:p>
        </w:tc>
        <w:tc>
          <w:tcPr>
            <w:tcW w:w="821"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532E00C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计量单位</w:t>
            </w:r>
          </w:p>
        </w:tc>
        <w:tc>
          <w:tcPr>
            <w:tcW w:w="2272"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5FA3FE77">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中型</w:t>
            </w:r>
          </w:p>
        </w:tc>
        <w:tc>
          <w:tcPr>
            <w:tcW w:w="1879"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7744FDB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小型</w:t>
            </w:r>
          </w:p>
        </w:tc>
        <w:tc>
          <w:tcPr>
            <w:tcW w:w="1297"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183BF55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微型</w:t>
            </w:r>
          </w:p>
        </w:tc>
      </w:tr>
      <w:tr w14:paraId="6FDA95F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413" w:type="dxa"/>
            <w:tcBorders>
              <w:top w:val="nil"/>
              <w:left w:val="single" w:color="auto" w:sz="6" w:space="0"/>
              <w:bottom w:val="single" w:color="999999" w:sz="6" w:space="0"/>
              <w:right w:val="single" w:color="999999" w:sz="6" w:space="0"/>
            </w:tcBorders>
            <w:tcMar>
              <w:top w:w="0" w:type="dxa"/>
              <w:left w:w="105" w:type="dxa"/>
              <w:bottom w:w="0" w:type="dxa"/>
              <w:right w:w="105" w:type="dxa"/>
            </w:tcMar>
            <w:vAlign w:val="bottom"/>
          </w:tcPr>
          <w:p w14:paraId="52A6037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农、林、牧、渔</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5DD1D1C">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30C3460">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0EA6338">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500≤Y＜20000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98D3EA7">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50≤Y＜500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B0FBA0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Y＜50</w:t>
            </w:r>
          </w:p>
        </w:tc>
      </w:tr>
      <w:tr w14:paraId="6E8EBAF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18B731A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工业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E393CA5">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FB490C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59BF63D">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300≤X＜1000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BA2B893">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20≤X＜300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C26E415">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X＜20</w:t>
            </w:r>
          </w:p>
        </w:tc>
      </w:tr>
      <w:tr w14:paraId="69754B8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4103CDF1">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26BABB0">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040DBE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8B07B6D">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2000≤Y＜40000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4DD24BC">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300≤Y＜2000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423B280">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Y＜300</w:t>
            </w:r>
          </w:p>
        </w:tc>
      </w:tr>
      <w:tr w14:paraId="21E38EF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5F27A13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建筑业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600623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E98FC8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EFD7ED1">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6000≤Y＜80000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D3EB955">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300≤Y＜6000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7EEA235">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Y＜300</w:t>
            </w:r>
          </w:p>
        </w:tc>
      </w:tr>
      <w:tr w14:paraId="41A9549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37AE4DDB">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FD3A53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资产总额（Z）</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768C8B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97E5C67">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5000≤Z＜80000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9D2465D">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300≤Z＜5000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E70A5B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Z＜300</w:t>
            </w:r>
          </w:p>
        </w:tc>
      </w:tr>
      <w:tr w14:paraId="56B1EF0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3FC8215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批发业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ECBBBA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50AD7C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923C1F7">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20≤X＜200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F70C632">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5≤X＜20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A6CC6F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X＜5</w:t>
            </w:r>
          </w:p>
        </w:tc>
      </w:tr>
      <w:tr w14:paraId="796782F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42E02816">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1A3C54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D1A04D5">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A959E84">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5000≤Y＜40000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EF23655">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1000≤Y＜5000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49E55FC">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Y＜1000</w:t>
            </w:r>
          </w:p>
        </w:tc>
      </w:tr>
      <w:tr w14:paraId="1C790A3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39233BC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零售业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DF82AF7">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49D55E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350B642">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5D9A083">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10≤X＜50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C953AB7">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r w14:paraId="34AA139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528BF7DE">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117E57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FC867E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C23FB40">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500≤Y＜20000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2ECDF95">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100≤Y＜500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41EFE5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0F66336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2B2840E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交通运输业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92EAEC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6E7FA05">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134F0C6">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300≤X＜1000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71D04F7">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20≤X＜300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70A2457">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X＜20</w:t>
            </w:r>
          </w:p>
        </w:tc>
      </w:tr>
      <w:tr w14:paraId="3DAD8BC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1558E089">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19987A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ABF45D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73B9CB3">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3000≤Y＜30000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6A08FF6">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200≤Y＜3000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45DB3AA">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Y＜200</w:t>
            </w:r>
          </w:p>
        </w:tc>
      </w:tr>
      <w:tr w14:paraId="3CA3729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5D6842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仓储业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5A3D55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5C9502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2594D7F">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100≤X＜200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EFC073B">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1E1F52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X＜20</w:t>
            </w:r>
          </w:p>
        </w:tc>
      </w:tr>
      <w:tr w14:paraId="311CC06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1E98B3C1">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E2C06B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6EF32C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073FCD5">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1000≤Y＜30000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A8EDF38">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100≤Y＜1000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C7DE935">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792B8EF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38BA996C">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邮政业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5BC9925">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20D41B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ADAE316">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300≤X＜1000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E303C85">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20≤X＜300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AE77320">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X＜20</w:t>
            </w:r>
          </w:p>
        </w:tc>
      </w:tr>
      <w:tr w14:paraId="1BE40A4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5"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41C86BDA">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93AEBC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8B95D0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E49B7A1">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2000≤Y＜30000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8A017D1">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100≤Y＜2000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F6C8972">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280E61B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3"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7C4F18E5">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住宿业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BC59C6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DB623C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2219DB8">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4C0E928">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BB0DAE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r w14:paraId="7D4B217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2195B412">
            <w:pPr>
              <w:widowControl/>
              <w:autoSpaceDE w:val="0"/>
              <w:autoSpaceDN w:val="0"/>
              <w:spacing w:line="360" w:lineRule="auto"/>
              <w:jc w:val="left"/>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0F2A9B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814E04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932933B">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2000≤Y＜10000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F97FAD0">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100≤Y＜2000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E6A576A">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5DC091B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79FEB4C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餐饮业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1C83EB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77DE448">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1877312">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E91ABD3">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94B55F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r w14:paraId="671C58D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68C9B534">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C87195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0619FA8">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B4C1143">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2000≤Y＜10000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13E6011">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100≤Y＜2000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87A3D35">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735FC24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2286505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信息传输业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A4DDE6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C2532A8">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68042AB">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100≤X＜2000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38CA52C">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921CF6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r w14:paraId="684DCDD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13D61B2E">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7C374C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D23816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9C16781">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1000≤Y＜100000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7E348D8">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100≤Y＜1000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5ED798">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2B8F334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169E4DD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软件和信息技术服务业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C3B114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077380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7AA4E04">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8B2E159">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1A36FD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r w14:paraId="655B8F0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68D14FC6">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24683E7">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D778D4C">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7863DB2">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1000≤Y＜10000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A7C2C03">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50≤Y＜1000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A193350">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Y＜50</w:t>
            </w:r>
          </w:p>
        </w:tc>
      </w:tr>
      <w:tr w14:paraId="31584D7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3BAA6438">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房地产开发经营</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9B6BD1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46E22F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6091353">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1000≤Y＜200000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74D4DDA">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100≤X＜1000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7D9F70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X＜100</w:t>
            </w:r>
          </w:p>
        </w:tc>
      </w:tr>
      <w:tr w14:paraId="48E63AF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6F660881">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30C700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资产总额（Z）</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97644E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81B0C03">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5000≤Z＜10000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E1F84E5">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2000≤Y＜5000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BDB2A5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Y＜2000</w:t>
            </w:r>
          </w:p>
        </w:tc>
      </w:tr>
      <w:tr w14:paraId="5B2F9E3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9"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74C477C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物业管理</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3D390A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801344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36D5E79">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300≤X＜1000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9EB8AFA">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100≤X＜300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8D8B15C">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X＜100</w:t>
            </w:r>
          </w:p>
        </w:tc>
      </w:tr>
      <w:tr w14:paraId="051E80D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3"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1D92E2B7">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4220F5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AF46E2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C3C6A8D">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1000≤Y＜5000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5ED4311">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500≤Y＜1000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9616C8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Y＜500</w:t>
            </w:r>
          </w:p>
        </w:tc>
      </w:tr>
      <w:tr w14:paraId="5C71712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13456F5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租赁和商务服务业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2AA0C05">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4EA571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9B077B3">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E221DF8">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A6518C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r w14:paraId="1F7C7B6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7"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7CD46AB8">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CF79677">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资产总额（Z）</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B78393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BA85320">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8000≤Z＜120000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D1FBBBA">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100≤Z＜8000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2296E1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2AA9770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3" w:hRule="atLeast"/>
          <w:tblCellSpacing w:w="15" w:type="dxa"/>
          <w:jc w:val="center"/>
        </w:trPr>
        <w:tc>
          <w:tcPr>
            <w:tcW w:w="1413" w:type="dxa"/>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170DB03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其他未列明行业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CC1C28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EE2D61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E30A52E">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4DC81D9">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BF7A3C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bl>
    <w:p w14:paraId="52F0F965">
      <w:pPr>
        <w:widowControl/>
        <w:autoSpaceDE w:val="0"/>
        <w:autoSpaceDN w:val="0"/>
        <w:spacing w:before="100" w:beforeAutospacing="1" w:after="100" w:afterAutospacing="1" w:line="360" w:lineRule="auto"/>
        <w:ind w:firstLine="420"/>
        <w:jc w:val="left"/>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说明：上述标准参照《关于印发中小企业划型标准规定的通知》（工信部联企业[2011]300号），大型、中型和小型企业须同时满足所列指标的下限，否则下划一档；微型企业只须满足所列指标中的一项即可。</w:t>
      </w:r>
    </w:p>
    <w:p w14:paraId="788565B5">
      <w:pPr>
        <w:spacing w:line="360" w:lineRule="auto"/>
        <w:rPr>
          <w:rStyle w:val="27"/>
          <w:rFonts w:ascii="宋体" w:hAnsi="宋体" w:cs="宋体"/>
          <w:color w:val="000000" w:themeColor="text1"/>
          <w:szCs w:val="21"/>
          <w14:textFill>
            <w14:solidFill>
              <w14:schemeClr w14:val="tx1"/>
            </w14:solidFill>
          </w14:textFill>
        </w:rPr>
      </w:pPr>
    </w:p>
    <w:p w14:paraId="5CD4DAC4">
      <w:pPr>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br w:type="page"/>
      </w:r>
    </w:p>
    <w:p w14:paraId="504C9634">
      <w:pPr>
        <w:pStyle w:val="23"/>
        <w:widowControl/>
        <w:spacing w:before="300" w:after="452" w:line="360" w:lineRule="auto"/>
        <w:jc w:val="center"/>
        <w:rPr>
          <w:rFonts w:ascii="宋体" w:hAnsi="宋体" w:cs="宋体"/>
          <w:b/>
          <w:bCs/>
          <w:color w:val="000000" w:themeColor="text1"/>
          <w:sz w:val="30"/>
          <w:szCs w:val="30"/>
          <w14:textFill>
            <w14:solidFill>
              <w14:schemeClr w14:val="tx1"/>
            </w14:solidFill>
          </w14:textFill>
        </w:rPr>
      </w:pPr>
      <w:bookmarkStart w:id="37" w:name="_Toc109304978"/>
      <w:r>
        <w:rPr>
          <w:rFonts w:hint="eastAsia" w:ascii="宋体" w:hAnsi="宋体" w:cs="宋体"/>
          <w:b/>
          <w:bCs/>
          <w:color w:val="000000" w:themeColor="text1"/>
          <w:sz w:val="30"/>
          <w:szCs w:val="30"/>
          <w14:textFill>
            <w14:solidFill>
              <w14:schemeClr w14:val="tx1"/>
            </w14:solidFill>
          </w14:textFill>
        </w:rPr>
        <w:t>残疾人福利性单位声明函</w:t>
      </w:r>
    </w:p>
    <w:p w14:paraId="535F5C25">
      <w:pPr>
        <w:pStyle w:val="23"/>
        <w:widowControl/>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项目采购活动提供本单位制造的产品或服务（由本单位承担工程/提供服务），或者提供其他残疾人福利性单位制造的产品或服务（不包括使用非残疾人福利性单位注册商标的产品或服务）。</w:t>
      </w:r>
    </w:p>
    <w:p w14:paraId="231496C8">
      <w:pPr>
        <w:pStyle w:val="23"/>
        <w:widowControl/>
        <w:spacing w:line="360" w:lineRule="auto"/>
        <w:ind w:left="420" w:leftChars="20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本单位在本次政府采购活动中提供的残疾人福利单位产品报价合计为人民币</w:t>
      </w:r>
      <w:r>
        <w:rPr>
          <w:rFonts w:hint="eastAsia" w:ascii="宋体" w:hAnsi="宋体" w:cs="宋体"/>
          <w:color w:val="000000" w:themeColor="text1"/>
          <w:sz w:val="21"/>
          <w:szCs w:val="21"/>
          <w:u w:val="single"/>
          <w14:textFill>
            <w14:solidFill>
              <w14:schemeClr w14:val="tx1"/>
            </w14:solidFill>
          </w14:textFill>
        </w:rPr>
        <w:t>（大写）</w:t>
      </w:r>
      <w:r>
        <w:rPr>
          <w:rFonts w:hint="eastAsia" w:ascii="宋体" w:hAnsi="宋体" w:cs="宋体"/>
          <w:color w:val="000000" w:themeColor="text1"/>
          <w:sz w:val="21"/>
          <w:szCs w:val="21"/>
          <w14:textFill>
            <w14:solidFill>
              <w14:schemeClr w14:val="tx1"/>
            </w14:solidFill>
          </w14:textFill>
        </w:rPr>
        <w:t xml:space="preserve"> 圆整（￥：</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w:t>
      </w:r>
    </w:p>
    <w:p w14:paraId="742760BB">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本单位对上述声明的真实性负责。如有虚假，将依法承担相应责任。</w:t>
      </w:r>
    </w:p>
    <w:p w14:paraId="1D871C31">
      <w:pPr>
        <w:spacing w:line="360" w:lineRule="auto"/>
        <w:ind w:firstLine="420" w:firstLineChars="200"/>
        <w:jc w:val="left"/>
        <w:rPr>
          <w:rFonts w:ascii="宋体" w:hAnsi="宋体" w:cs="宋体"/>
          <w:color w:val="000000" w:themeColor="text1"/>
          <w:szCs w:val="21"/>
          <w14:textFill>
            <w14:solidFill>
              <w14:schemeClr w14:val="tx1"/>
            </w14:solidFill>
          </w14:textFill>
        </w:rPr>
      </w:pPr>
    </w:p>
    <w:p w14:paraId="564853E1">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（备注：1、供应商如不提供此声明函，价格将不做相应扣除。2、成交供应商为残疾人福利单位的，此声明函将随成交结果同时公告，接受社会监督）</w:t>
      </w:r>
    </w:p>
    <w:p w14:paraId="66F903B6">
      <w:pPr>
        <w:spacing w:line="360" w:lineRule="auto"/>
        <w:ind w:firstLine="444" w:firstLineChars="200"/>
        <w:rPr>
          <w:rFonts w:ascii="宋体" w:hAnsi="宋体" w:cs="宋体"/>
          <w:color w:val="000000" w:themeColor="text1"/>
          <w:spacing w:val="6"/>
          <w:szCs w:val="21"/>
          <w14:textFill>
            <w14:solidFill>
              <w14:schemeClr w14:val="tx1"/>
            </w14:solidFill>
          </w14:textFill>
        </w:rPr>
      </w:pPr>
    </w:p>
    <w:p w14:paraId="59E5D9C0">
      <w:pPr>
        <w:spacing w:line="360" w:lineRule="auto"/>
        <w:ind w:firstLine="444" w:firstLineChars="200"/>
        <w:rPr>
          <w:rFonts w:ascii="宋体" w:hAnsi="宋体" w:cs="宋体"/>
          <w:color w:val="000000" w:themeColor="text1"/>
          <w:spacing w:val="6"/>
          <w:szCs w:val="21"/>
          <w14:textFill>
            <w14:solidFill>
              <w14:schemeClr w14:val="tx1"/>
            </w14:solidFill>
          </w14:textFill>
        </w:rPr>
      </w:pPr>
    </w:p>
    <w:p w14:paraId="7CC022A7">
      <w:pPr>
        <w:tabs>
          <w:tab w:val="left" w:pos="4860"/>
        </w:tabs>
        <w:spacing w:line="360" w:lineRule="auto"/>
        <w:ind w:right="1560" w:firstLine="420" w:firstLineChars="20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供应商全称（盖章）：</w:t>
      </w:r>
    </w:p>
    <w:p w14:paraId="78A55368">
      <w:pPr>
        <w:tabs>
          <w:tab w:val="left" w:pos="4860"/>
        </w:tabs>
        <w:spacing w:line="360" w:lineRule="auto"/>
        <w:ind w:right="1560" w:firstLine="420" w:firstLineChars="20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日期：</w:t>
      </w:r>
    </w:p>
    <w:p w14:paraId="05D94523">
      <w:pPr>
        <w:spacing w:line="360" w:lineRule="auto"/>
        <w:rPr>
          <w:rFonts w:ascii="宋体" w:hAnsi="宋体" w:cs="宋体"/>
          <w:b/>
          <w:bCs/>
          <w:color w:val="000000" w:themeColor="text1"/>
          <w:sz w:val="32"/>
          <w:szCs w:val="32"/>
          <w14:textFill>
            <w14:solidFill>
              <w14:schemeClr w14:val="tx1"/>
            </w14:solidFill>
          </w14:textFill>
        </w:rPr>
      </w:pPr>
    </w:p>
    <w:p w14:paraId="27A0C63D">
      <w:pPr>
        <w:pStyle w:val="6"/>
        <w:spacing w:line="360" w:lineRule="auto"/>
        <w:rPr>
          <w:rFonts w:ascii="宋体" w:hAnsi="宋体" w:cs="宋体"/>
          <w:color w:val="000000" w:themeColor="text1"/>
          <w14:textFill>
            <w14:solidFill>
              <w14:schemeClr w14:val="tx1"/>
            </w14:solidFill>
          </w14:textFill>
        </w:rPr>
      </w:pPr>
    </w:p>
    <w:p w14:paraId="7DCF9756">
      <w:pPr>
        <w:spacing w:line="360" w:lineRule="auto"/>
        <w:rPr>
          <w:rFonts w:ascii="宋体" w:hAnsi="宋体" w:cs="宋体"/>
          <w:color w:val="000000" w:themeColor="text1"/>
          <w14:textFill>
            <w14:solidFill>
              <w14:schemeClr w14:val="tx1"/>
            </w14:solidFill>
          </w14:textFill>
        </w:rPr>
      </w:pPr>
    </w:p>
    <w:p w14:paraId="4CDDB66C">
      <w:pPr>
        <w:spacing w:line="360" w:lineRule="auto"/>
        <w:rPr>
          <w:rFonts w:ascii="宋体" w:hAnsi="宋体" w:cs="宋体"/>
          <w:b/>
          <w:bCs/>
          <w:color w:val="000000" w:themeColor="text1"/>
          <w:kern w:val="0"/>
          <w:sz w:val="32"/>
          <w:szCs w:val="32"/>
          <w14:textFill>
            <w14:solidFill>
              <w14:schemeClr w14:val="tx1"/>
            </w14:solidFill>
          </w14:textFill>
        </w:rPr>
      </w:pPr>
    </w:p>
    <w:p w14:paraId="4AF4643B">
      <w:pPr>
        <w:pStyle w:val="6"/>
        <w:spacing w:line="360" w:lineRule="auto"/>
        <w:rPr>
          <w:rFonts w:ascii="宋体" w:hAnsi="宋体" w:cs="宋体"/>
          <w:color w:val="000000" w:themeColor="text1"/>
          <w14:textFill>
            <w14:solidFill>
              <w14:schemeClr w14:val="tx1"/>
            </w14:solidFill>
          </w14:textFill>
        </w:rPr>
      </w:pPr>
    </w:p>
    <w:p w14:paraId="1FE36408">
      <w:pPr>
        <w:spacing w:line="360" w:lineRule="auto"/>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br w:type="page"/>
      </w:r>
    </w:p>
    <w:p w14:paraId="367D76F6">
      <w:pPr>
        <w:spacing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四、磋商响应报价表</w:t>
      </w:r>
    </w:p>
    <w:p w14:paraId="0A1F0A9D">
      <w:pPr>
        <w:spacing w:line="360" w:lineRule="auto"/>
        <w:rPr>
          <w:rFonts w:ascii="宋体" w:hAnsi="宋体" w:cs="宋体"/>
          <w:color w:val="000000" w:themeColor="text1"/>
          <w14:textFill>
            <w14:solidFill>
              <w14:schemeClr w14:val="tx1"/>
            </w14:solidFill>
          </w14:textFill>
        </w:rPr>
      </w:pPr>
    </w:p>
    <w:p w14:paraId="3E1D2BAE">
      <w:pPr>
        <w:pStyle w:val="15"/>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项目名称： </w:t>
      </w:r>
    </w:p>
    <w:p w14:paraId="28A656D3">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项目编号：     </w:t>
      </w:r>
    </w:p>
    <w:p w14:paraId="3FE53EBF">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本次为首次报价                                                      </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8222"/>
      </w:tblGrid>
      <w:tr w14:paraId="65D2A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jc w:val="center"/>
        </w:trPr>
        <w:tc>
          <w:tcPr>
            <w:tcW w:w="1242" w:type="dxa"/>
            <w:tcBorders>
              <w:top w:val="single" w:color="auto" w:sz="4" w:space="0"/>
              <w:left w:val="single" w:color="auto" w:sz="4" w:space="0"/>
              <w:bottom w:val="single" w:color="auto" w:sz="4" w:space="0"/>
              <w:right w:val="single" w:color="auto" w:sz="4" w:space="0"/>
            </w:tcBorders>
            <w:noWrap/>
            <w:vAlign w:val="center"/>
          </w:tcPr>
          <w:p w14:paraId="5AC33285">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名称</w:t>
            </w:r>
          </w:p>
        </w:tc>
        <w:tc>
          <w:tcPr>
            <w:tcW w:w="8222" w:type="dxa"/>
            <w:tcBorders>
              <w:top w:val="single" w:color="auto" w:sz="4" w:space="0"/>
              <w:left w:val="single" w:color="auto" w:sz="4" w:space="0"/>
              <w:bottom w:val="single" w:color="auto" w:sz="4" w:space="0"/>
              <w:right w:val="single" w:color="auto" w:sz="4" w:space="0"/>
            </w:tcBorders>
            <w:noWrap/>
            <w:vAlign w:val="center"/>
          </w:tcPr>
          <w:p w14:paraId="7975062D">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第一轮报价</w:t>
            </w:r>
          </w:p>
        </w:tc>
      </w:tr>
      <w:tr w14:paraId="58711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0" w:hRule="atLeast"/>
          <w:jc w:val="center"/>
        </w:trPr>
        <w:tc>
          <w:tcPr>
            <w:tcW w:w="1242" w:type="dxa"/>
            <w:tcBorders>
              <w:top w:val="single" w:color="auto" w:sz="4" w:space="0"/>
              <w:left w:val="single" w:color="auto" w:sz="4" w:space="0"/>
              <w:bottom w:val="single" w:color="auto" w:sz="4" w:space="0"/>
              <w:right w:val="single" w:color="auto" w:sz="4" w:space="0"/>
            </w:tcBorders>
            <w:noWrap/>
            <w:vAlign w:val="center"/>
          </w:tcPr>
          <w:p w14:paraId="028C22ED">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w:t>
            </w:r>
          </w:p>
        </w:tc>
        <w:tc>
          <w:tcPr>
            <w:tcW w:w="8222" w:type="dxa"/>
            <w:tcBorders>
              <w:top w:val="single" w:color="auto" w:sz="4" w:space="0"/>
              <w:left w:val="single" w:color="auto" w:sz="4" w:space="0"/>
              <w:bottom w:val="single" w:color="auto" w:sz="4" w:space="0"/>
              <w:right w:val="single" w:color="auto" w:sz="4" w:space="0"/>
            </w:tcBorders>
            <w:noWrap/>
            <w:vAlign w:val="center"/>
          </w:tcPr>
          <w:p w14:paraId="4217ED24">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大写：</w:t>
            </w:r>
          </w:p>
          <w:p w14:paraId="31072865">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小写：            (人民币)元</w:t>
            </w:r>
          </w:p>
        </w:tc>
      </w:tr>
      <w:tr w14:paraId="49D1F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jc w:val="center"/>
        </w:trPr>
        <w:tc>
          <w:tcPr>
            <w:tcW w:w="1242" w:type="dxa"/>
            <w:tcBorders>
              <w:top w:val="single" w:color="auto" w:sz="4" w:space="0"/>
              <w:left w:val="single" w:color="auto" w:sz="4" w:space="0"/>
              <w:bottom w:val="single" w:color="auto" w:sz="4" w:space="0"/>
              <w:right w:val="single" w:color="auto" w:sz="4" w:space="0"/>
            </w:tcBorders>
            <w:noWrap/>
            <w:vAlign w:val="center"/>
          </w:tcPr>
          <w:p w14:paraId="01B0EE59">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w:t>
            </w:r>
          </w:p>
        </w:tc>
        <w:tc>
          <w:tcPr>
            <w:tcW w:w="8222" w:type="dxa"/>
            <w:tcBorders>
              <w:top w:val="single" w:color="auto" w:sz="4" w:space="0"/>
              <w:left w:val="single" w:color="auto" w:sz="4" w:space="0"/>
              <w:bottom w:val="single" w:color="auto" w:sz="4" w:space="0"/>
              <w:right w:val="single" w:color="auto" w:sz="4" w:space="0"/>
            </w:tcBorders>
            <w:noWrap/>
            <w:vAlign w:val="center"/>
          </w:tcPr>
          <w:p w14:paraId="6C7F3C5E">
            <w:pPr>
              <w:spacing w:line="360" w:lineRule="auto"/>
              <w:jc w:val="center"/>
              <w:rPr>
                <w:rFonts w:ascii="宋体" w:hAnsi="宋体" w:cs="宋体"/>
                <w:color w:val="000000" w:themeColor="text1"/>
                <w:szCs w:val="21"/>
                <w14:textFill>
                  <w14:solidFill>
                    <w14:schemeClr w14:val="tx1"/>
                  </w14:solidFill>
                </w14:textFill>
              </w:rPr>
            </w:pPr>
          </w:p>
        </w:tc>
      </w:tr>
    </w:tbl>
    <w:p w14:paraId="0D7207EB">
      <w:pPr>
        <w:spacing w:line="360" w:lineRule="auto"/>
        <w:rPr>
          <w:rFonts w:ascii="宋体" w:hAnsi="宋体" w:cs="宋体"/>
          <w:color w:val="000000" w:themeColor="text1"/>
          <w14:textFill>
            <w14:solidFill>
              <w14:schemeClr w14:val="tx1"/>
            </w14:solidFill>
          </w14:textFill>
        </w:rPr>
      </w:pPr>
    </w:p>
    <w:p w14:paraId="05F3EE61">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供应商全称（盖章）：</w:t>
      </w:r>
    </w:p>
    <w:p w14:paraId="2E4D2285">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日期：</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日</w:t>
      </w:r>
    </w:p>
    <w:p w14:paraId="20EAD806">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r>
        <w:rPr>
          <w:rFonts w:hint="eastAsia" w:ascii="宋体" w:hAnsi="宋体" w:cs="宋体"/>
          <w:b/>
          <w:bCs/>
          <w:color w:val="000000" w:themeColor="text1"/>
          <w:sz w:val="32"/>
          <w:szCs w:val="32"/>
          <w14:textFill>
            <w14:solidFill>
              <w14:schemeClr w14:val="tx1"/>
            </w14:solidFill>
          </w14:textFill>
        </w:rPr>
        <w:t>分项报价表</w:t>
      </w:r>
    </w:p>
    <w:p w14:paraId="57B254D6">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本次为首轮报价</w:t>
      </w:r>
    </w:p>
    <w:p w14:paraId="6FA9313B">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供应商名称：</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  </w:t>
      </w:r>
    </w:p>
    <w:p w14:paraId="617F2CCD">
      <w:pPr>
        <w:pStyle w:val="15"/>
        <w:spacing w:line="360" w:lineRule="auto"/>
        <w:ind w:firstLine="420" w:firstLineChars="200"/>
        <w:rPr>
          <w:rFonts w:ascii="宋体" w:hAnsi="宋体" w:cs="宋体"/>
          <w:color w:val="000000" w:themeColor="text1"/>
          <w:kern w:val="2"/>
          <w:sz w:val="21"/>
          <w:szCs w:val="22"/>
          <w:u w:val="single"/>
          <w14:textFill>
            <w14:solidFill>
              <w14:schemeClr w14:val="tx1"/>
            </w14:solidFill>
          </w14:textFill>
        </w:rPr>
      </w:pPr>
      <w:r>
        <w:rPr>
          <w:rFonts w:hint="eastAsia" w:ascii="宋体" w:hAnsi="宋体" w:cs="宋体"/>
          <w:color w:val="000000" w:themeColor="text1"/>
          <w:kern w:val="2"/>
          <w:sz w:val="21"/>
          <w:szCs w:val="22"/>
          <w14:textFill>
            <w14:solidFill>
              <w14:schemeClr w14:val="tx1"/>
            </w14:solidFill>
          </w14:textFill>
        </w:rPr>
        <w:t>项目名称：</w:t>
      </w:r>
      <w:r>
        <w:rPr>
          <w:rFonts w:hint="eastAsia" w:ascii="宋体" w:hAnsi="宋体" w:cs="宋体"/>
          <w:color w:val="000000" w:themeColor="text1"/>
          <w:kern w:val="2"/>
          <w:sz w:val="21"/>
          <w:szCs w:val="22"/>
          <w:u w:val="single"/>
          <w14:textFill>
            <w14:solidFill>
              <w14:schemeClr w14:val="tx1"/>
            </w14:solidFill>
          </w14:textFill>
        </w:rPr>
        <w:t xml:space="preserve">                               </w:t>
      </w:r>
    </w:p>
    <w:p w14:paraId="605F4C83">
      <w:pPr>
        <w:pStyle w:val="15"/>
        <w:spacing w:line="360" w:lineRule="auto"/>
        <w:ind w:firstLine="420" w:firstLineChars="200"/>
        <w:rPr>
          <w:rFonts w:ascii="宋体" w:hAnsi="宋体" w:cs="宋体"/>
          <w:color w:val="000000" w:themeColor="text1"/>
          <w:kern w:val="2"/>
          <w:sz w:val="21"/>
          <w:szCs w:val="22"/>
          <w:u w:val="single"/>
          <w14:textFill>
            <w14:solidFill>
              <w14:schemeClr w14:val="tx1"/>
            </w14:solidFill>
          </w14:textFill>
        </w:rPr>
      </w:pPr>
      <w:r>
        <w:rPr>
          <w:rFonts w:hint="eastAsia" w:ascii="宋体" w:hAnsi="宋体" w:cs="宋体"/>
          <w:color w:val="000000" w:themeColor="text1"/>
          <w:kern w:val="2"/>
          <w:sz w:val="21"/>
          <w:szCs w:val="22"/>
          <w14:textFill>
            <w14:solidFill>
              <w14:schemeClr w14:val="tx1"/>
            </w14:solidFill>
          </w14:textFill>
        </w:rPr>
        <w:t>项目编号：</w:t>
      </w:r>
      <w:r>
        <w:rPr>
          <w:rFonts w:hint="eastAsia" w:ascii="宋体" w:hAnsi="宋体" w:cs="宋体"/>
          <w:color w:val="000000" w:themeColor="text1"/>
          <w:kern w:val="2"/>
          <w:sz w:val="21"/>
          <w:szCs w:val="22"/>
          <w:u w:val="single"/>
          <w14:textFill>
            <w14:solidFill>
              <w14:schemeClr w14:val="tx1"/>
            </w14:solidFill>
          </w14:textFill>
        </w:rPr>
        <w:t xml:space="preserve">                               </w:t>
      </w:r>
    </w:p>
    <w:p w14:paraId="4E62C7F9">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投标报价(小写)：</w:t>
      </w:r>
      <w:r>
        <w:rPr>
          <w:rFonts w:hint="eastAsia" w:ascii="宋体" w:hAnsi="宋体" w:cs="宋体"/>
          <w:color w:val="000000" w:themeColor="text1"/>
          <w:u w:val="single"/>
          <w14:textFill>
            <w14:solidFill>
              <w14:schemeClr w14:val="tx1"/>
            </w14:solidFill>
          </w14:textFill>
        </w:rPr>
        <w:t xml:space="preserve">                         </w:t>
      </w:r>
    </w:p>
    <w:p w14:paraId="5AA4008A">
      <w:pPr>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投标报价(大写)：</w:t>
      </w:r>
      <w:r>
        <w:rPr>
          <w:rFonts w:hint="eastAsia" w:ascii="宋体" w:hAnsi="宋体" w:cs="宋体"/>
          <w:color w:val="000000" w:themeColor="text1"/>
          <w:u w:val="single"/>
          <w14:textFill>
            <w14:solidFill>
              <w14:schemeClr w14:val="tx1"/>
            </w14:solidFill>
          </w14:textFill>
        </w:rPr>
        <w:t xml:space="preserve">                         </w:t>
      </w:r>
    </w:p>
    <w:p w14:paraId="2C249289">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法定代表人或授权代表签字：                </w:t>
      </w:r>
    </w:p>
    <w:p w14:paraId="28944C29">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盖 章（公章）：</w:t>
      </w:r>
    </w:p>
    <w:p w14:paraId="75B02A44">
      <w:pPr>
        <w:pStyle w:val="15"/>
        <w:spacing w:line="360" w:lineRule="auto"/>
        <w:ind w:firstLine="420" w:firstLineChars="200"/>
        <w:rPr>
          <w:rFonts w:ascii="宋体" w:hAnsi="宋体" w:cs="宋体"/>
          <w:color w:val="000000" w:themeColor="text1"/>
          <w:kern w:val="2"/>
          <w:sz w:val="21"/>
          <w:szCs w:val="22"/>
          <w14:textFill>
            <w14:solidFill>
              <w14:schemeClr w14:val="tx1"/>
            </w14:solidFill>
          </w14:textFill>
        </w:rPr>
      </w:pPr>
    </w:p>
    <w:p w14:paraId="2B0896F6">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w:t>
      </w:r>
    </w:p>
    <w:p w14:paraId="0B47DD1F">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1、行数不够，可自行添加。</w:t>
      </w:r>
    </w:p>
    <w:p w14:paraId="47F554A5">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p>
    <w:p w14:paraId="725B9A1E">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供应商成交后根据本单位的最终总报价和首轮明细报价，自行调整各明细单价（原则上除不可竞争费外，其他各分项报价同比例下浮）直至合价和最终总报价（以元为单位，保留两位小数）相符，报采购人审核，审核通过后，后期根据审核后的明细报价，按实结算。</w:t>
      </w:r>
    </w:p>
    <w:p w14:paraId="34918770">
      <w:pPr>
        <w:spacing w:line="360" w:lineRule="auto"/>
        <w:rPr>
          <w:rFonts w:ascii="宋体" w:hAnsi="宋体" w:cs="宋体"/>
          <w:color w:val="000000" w:themeColor="text1"/>
          <w:szCs w:val="21"/>
          <w14:textFill>
            <w14:solidFill>
              <w14:schemeClr w14:val="tx1"/>
            </w14:solidFill>
          </w14:textFill>
        </w:rPr>
      </w:pPr>
    </w:p>
    <w:p w14:paraId="22474B2F">
      <w:pPr>
        <w:spacing w:line="360" w:lineRule="auto"/>
        <w:rPr>
          <w:rFonts w:ascii="宋体" w:hAnsi="宋体" w:cs="宋体"/>
          <w:color w:val="000000" w:themeColor="text1"/>
          <w:szCs w:val="21"/>
          <w14:textFill>
            <w14:solidFill>
              <w14:schemeClr w14:val="tx1"/>
            </w14:solidFill>
          </w14:textFill>
        </w:rPr>
      </w:pPr>
    </w:p>
    <w:p w14:paraId="7E09BB8E">
      <w:pPr>
        <w:spacing w:line="360" w:lineRule="auto"/>
        <w:rPr>
          <w:rFonts w:ascii="宋体" w:hAnsi="宋体" w:cs="宋体"/>
          <w:color w:val="000000" w:themeColor="text1"/>
          <w:szCs w:val="21"/>
          <w14:textFill>
            <w14:solidFill>
              <w14:schemeClr w14:val="tx1"/>
            </w14:solidFill>
          </w14:textFill>
        </w:rPr>
      </w:pPr>
    </w:p>
    <w:p w14:paraId="56966472">
      <w:pPr>
        <w:pStyle w:val="6"/>
        <w:spacing w:line="360" w:lineRule="auto"/>
        <w:rPr>
          <w:rFonts w:ascii="宋体" w:hAnsi="宋体" w:cs="宋体"/>
          <w:b w:val="0"/>
          <w:bCs w:val="0"/>
          <w:color w:val="000000" w:themeColor="text1"/>
          <w:kern w:val="2"/>
          <w:sz w:val="21"/>
          <w:szCs w:val="21"/>
          <w14:textFill>
            <w14:solidFill>
              <w14:schemeClr w14:val="tx1"/>
            </w14:solidFill>
          </w14:textFill>
        </w:rPr>
      </w:pPr>
    </w:p>
    <w:p w14:paraId="6ABA18D5">
      <w:pPr>
        <w:pStyle w:val="4"/>
        <w:spacing w:line="360" w:lineRule="auto"/>
        <w:jc w:val="center"/>
        <w:rPr>
          <w:rFonts w:ascii="宋体" w:hAnsi="宋体" w:cs="宋体"/>
          <w:bCs w:val="0"/>
          <w:color w:val="000000" w:themeColor="text1"/>
          <w14:textFill>
            <w14:solidFill>
              <w14:schemeClr w14:val="tx1"/>
            </w14:solidFill>
          </w14:textFill>
        </w:rPr>
      </w:pPr>
    </w:p>
    <w:p w14:paraId="3824506B">
      <w:pPr>
        <w:spacing w:line="360" w:lineRule="auto"/>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bCs/>
          <w:color w:val="000000" w:themeColor="text1"/>
          <w14:textFill>
            <w14:solidFill>
              <w14:schemeClr w14:val="tx1"/>
            </w14:solidFill>
          </w14:textFill>
        </w:rPr>
        <w:br w:type="page"/>
      </w:r>
      <w:r>
        <w:rPr>
          <w:rFonts w:hint="eastAsia" w:ascii="宋体" w:hAnsi="宋体" w:cs="宋体"/>
          <w:b/>
          <w:color w:val="000000" w:themeColor="text1"/>
          <w:kern w:val="0"/>
          <w:sz w:val="32"/>
          <w:szCs w:val="32"/>
          <w14:textFill>
            <w14:solidFill>
              <w14:schemeClr w14:val="tx1"/>
            </w14:solidFill>
          </w14:textFill>
        </w:rPr>
        <w:t>五、技术参数响应及偏离表</w:t>
      </w:r>
      <w:bookmarkEnd w:id="37"/>
    </w:p>
    <w:p w14:paraId="6BAECB6C">
      <w:pPr>
        <w:spacing w:line="360" w:lineRule="auto"/>
        <w:jc w:val="left"/>
        <w:rPr>
          <w:rFonts w:ascii="宋体" w:hAnsi="宋体" w:cs="宋体"/>
          <w:bCs/>
          <w:color w:val="000000" w:themeColor="text1"/>
          <w14:textFill>
            <w14:solidFill>
              <w14:schemeClr w14:val="tx1"/>
            </w14:solidFill>
          </w14:textFill>
        </w:rPr>
      </w:pPr>
    </w:p>
    <w:p w14:paraId="33CE5331">
      <w:pPr>
        <w:spacing w:line="360" w:lineRule="auto"/>
        <w:jc w:val="left"/>
        <w:rPr>
          <w:rFonts w:ascii="宋体" w:hAnsi="宋体" w:cs="宋体"/>
          <w:b/>
          <w:color w:val="000000" w:themeColor="text1"/>
          <w:kern w:val="0"/>
          <w:sz w:val="32"/>
          <w:szCs w:val="32"/>
          <w14:textFill>
            <w14:solidFill>
              <w14:schemeClr w14:val="tx1"/>
            </w14:solidFill>
          </w14:textFill>
        </w:rPr>
      </w:pPr>
      <w:r>
        <w:rPr>
          <w:rFonts w:hint="eastAsia" w:ascii="宋体" w:hAnsi="宋体" w:cs="宋体"/>
          <w:bCs/>
          <w:color w:val="000000" w:themeColor="text1"/>
          <w14:textFill>
            <w14:solidFill>
              <w14:schemeClr w14:val="tx1"/>
            </w14:solidFill>
          </w14:textFill>
        </w:rPr>
        <w:t>供应商全称（加盖公章）：</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4F3E6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84" w:type="dxa"/>
            <w:noWrap/>
            <w:vAlign w:val="center"/>
          </w:tcPr>
          <w:p w14:paraId="5D431005">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序号</w:t>
            </w:r>
          </w:p>
        </w:tc>
        <w:tc>
          <w:tcPr>
            <w:tcW w:w="2852" w:type="dxa"/>
            <w:noWrap/>
            <w:vAlign w:val="center"/>
          </w:tcPr>
          <w:p w14:paraId="25D023AC">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采购要求</w:t>
            </w:r>
          </w:p>
        </w:tc>
        <w:tc>
          <w:tcPr>
            <w:tcW w:w="2852" w:type="dxa"/>
            <w:noWrap/>
            <w:vAlign w:val="center"/>
          </w:tcPr>
          <w:p w14:paraId="23B11B25">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磋商响应</w:t>
            </w:r>
          </w:p>
        </w:tc>
        <w:tc>
          <w:tcPr>
            <w:tcW w:w="1308" w:type="dxa"/>
            <w:noWrap/>
            <w:vAlign w:val="center"/>
          </w:tcPr>
          <w:p w14:paraId="4FAEEC33">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超出、符合或偏离</w:t>
            </w:r>
          </w:p>
        </w:tc>
        <w:tc>
          <w:tcPr>
            <w:tcW w:w="1173" w:type="dxa"/>
            <w:noWrap/>
            <w:vAlign w:val="center"/>
          </w:tcPr>
          <w:p w14:paraId="39D393D0">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证明材料</w:t>
            </w:r>
          </w:p>
        </w:tc>
      </w:tr>
      <w:tr w14:paraId="64F4A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468DC11D">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36E9E947">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7757CC39">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0D770492">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597767EA">
            <w:pPr>
              <w:spacing w:line="360" w:lineRule="auto"/>
              <w:jc w:val="center"/>
              <w:rPr>
                <w:rFonts w:ascii="宋体" w:hAnsi="宋体" w:cs="宋体"/>
                <w:color w:val="000000" w:themeColor="text1"/>
                <w:szCs w:val="21"/>
                <w14:textFill>
                  <w14:solidFill>
                    <w14:schemeClr w14:val="tx1"/>
                  </w14:solidFill>
                </w14:textFill>
              </w:rPr>
            </w:pPr>
          </w:p>
        </w:tc>
      </w:tr>
      <w:tr w14:paraId="7CEB2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1B4D5673">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2F1DBE48">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50D24C0D">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756C6B59">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0129A7A5">
            <w:pPr>
              <w:spacing w:line="360" w:lineRule="auto"/>
              <w:jc w:val="center"/>
              <w:rPr>
                <w:rFonts w:ascii="宋体" w:hAnsi="宋体" w:cs="宋体"/>
                <w:color w:val="000000" w:themeColor="text1"/>
                <w:szCs w:val="21"/>
                <w14:textFill>
                  <w14:solidFill>
                    <w14:schemeClr w14:val="tx1"/>
                  </w14:solidFill>
                </w14:textFill>
              </w:rPr>
            </w:pPr>
          </w:p>
        </w:tc>
      </w:tr>
      <w:tr w14:paraId="4D194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51AB8904">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4394C528">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6FEB609B">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384F681B">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2371248A">
            <w:pPr>
              <w:spacing w:line="360" w:lineRule="auto"/>
              <w:jc w:val="center"/>
              <w:rPr>
                <w:rFonts w:ascii="宋体" w:hAnsi="宋体" w:cs="宋体"/>
                <w:color w:val="000000" w:themeColor="text1"/>
                <w:szCs w:val="21"/>
                <w14:textFill>
                  <w14:solidFill>
                    <w14:schemeClr w14:val="tx1"/>
                  </w14:solidFill>
                </w14:textFill>
              </w:rPr>
            </w:pPr>
          </w:p>
        </w:tc>
      </w:tr>
      <w:tr w14:paraId="38A59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7A75112E">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1E4945D4">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7660144E">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5010BFC0">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44261CBD">
            <w:pPr>
              <w:spacing w:line="360" w:lineRule="auto"/>
              <w:jc w:val="center"/>
              <w:rPr>
                <w:rFonts w:ascii="宋体" w:hAnsi="宋体" w:cs="宋体"/>
                <w:color w:val="000000" w:themeColor="text1"/>
                <w:szCs w:val="21"/>
                <w14:textFill>
                  <w14:solidFill>
                    <w14:schemeClr w14:val="tx1"/>
                  </w14:solidFill>
                </w14:textFill>
              </w:rPr>
            </w:pPr>
          </w:p>
        </w:tc>
      </w:tr>
      <w:tr w14:paraId="7DCD6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75FDD2C5">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1C337093">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6D4169DA">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0B2D1730">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73BE9AAA">
            <w:pPr>
              <w:spacing w:line="360" w:lineRule="auto"/>
              <w:jc w:val="center"/>
              <w:rPr>
                <w:rFonts w:ascii="宋体" w:hAnsi="宋体" w:cs="宋体"/>
                <w:color w:val="000000" w:themeColor="text1"/>
                <w:szCs w:val="21"/>
                <w14:textFill>
                  <w14:solidFill>
                    <w14:schemeClr w14:val="tx1"/>
                  </w14:solidFill>
                </w14:textFill>
              </w:rPr>
            </w:pPr>
          </w:p>
        </w:tc>
      </w:tr>
      <w:tr w14:paraId="0D9F5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238ED0BB">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5A2AE9B0">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1178B08D">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2C6CE804">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37CCA7BC">
            <w:pPr>
              <w:spacing w:line="360" w:lineRule="auto"/>
              <w:jc w:val="center"/>
              <w:rPr>
                <w:rFonts w:ascii="宋体" w:hAnsi="宋体" w:cs="宋体"/>
                <w:color w:val="000000" w:themeColor="text1"/>
                <w:szCs w:val="21"/>
                <w14:textFill>
                  <w14:solidFill>
                    <w14:schemeClr w14:val="tx1"/>
                  </w14:solidFill>
                </w14:textFill>
              </w:rPr>
            </w:pPr>
          </w:p>
        </w:tc>
      </w:tr>
      <w:tr w14:paraId="32FEE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11FE9F87">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7DA7A99E">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1B75AB62">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370F979C">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3F102F08">
            <w:pPr>
              <w:spacing w:line="360" w:lineRule="auto"/>
              <w:jc w:val="center"/>
              <w:rPr>
                <w:rFonts w:ascii="宋体" w:hAnsi="宋体" w:cs="宋体"/>
                <w:color w:val="000000" w:themeColor="text1"/>
                <w:szCs w:val="21"/>
                <w14:textFill>
                  <w14:solidFill>
                    <w14:schemeClr w14:val="tx1"/>
                  </w14:solidFill>
                </w14:textFill>
              </w:rPr>
            </w:pPr>
          </w:p>
        </w:tc>
      </w:tr>
      <w:tr w14:paraId="7868B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48B18310">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6361B833">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1BCAB96C">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28FB2CEC">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2BEB7176">
            <w:pPr>
              <w:spacing w:line="360" w:lineRule="auto"/>
              <w:jc w:val="center"/>
              <w:rPr>
                <w:rFonts w:ascii="宋体" w:hAnsi="宋体" w:cs="宋体"/>
                <w:color w:val="000000" w:themeColor="text1"/>
                <w:szCs w:val="21"/>
                <w14:textFill>
                  <w14:solidFill>
                    <w14:schemeClr w14:val="tx1"/>
                  </w14:solidFill>
                </w14:textFill>
              </w:rPr>
            </w:pPr>
          </w:p>
        </w:tc>
      </w:tr>
    </w:tbl>
    <w:p w14:paraId="28560E0B">
      <w:pPr>
        <w:spacing w:line="360" w:lineRule="auto"/>
        <w:rPr>
          <w:rFonts w:ascii="宋体" w:hAnsi="宋体" w:cs="宋体"/>
          <w:color w:val="000000" w:themeColor="text1"/>
          <w:sz w:val="24"/>
          <w:szCs w:val="24"/>
          <w14:textFill>
            <w14:solidFill>
              <w14:schemeClr w14:val="tx1"/>
            </w14:solidFill>
          </w14:textFill>
        </w:rPr>
      </w:pPr>
    </w:p>
    <w:p w14:paraId="617E0D13">
      <w:pPr>
        <w:spacing w:line="360" w:lineRule="auto"/>
        <w:jc w:val="left"/>
        <w:rPr>
          <w:rFonts w:ascii="宋体" w:hAnsi="宋体" w:cs="宋体"/>
          <w:bCs/>
          <w:color w:val="000000" w:themeColor="text1"/>
          <w14:textFill>
            <w14:solidFill>
              <w14:schemeClr w14:val="tx1"/>
            </w14:solidFill>
          </w14:textFill>
        </w:rPr>
      </w:pPr>
      <w:bookmarkStart w:id="38" w:name="_Hlt26955054"/>
      <w:bookmarkEnd w:id="38"/>
      <w:bookmarkStart w:id="39" w:name="_Toc109304979"/>
      <w:r>
        <w:rPr>
          <w:rFonts w:hint="eastAsia" w:ascii="宋体" w:hAnsi="宋体" w:cs="宋体"/>
          <w:bCs/>
          <w:color w:val="000000" w:themeColor="text1"/>
          <w14:textFill>
            <w14:solidFill>
              <w14:schemeClr w14:val="tx1"/>
            </w14:solidFill>
          </w14:textFill>
        </w:rPr>
        <w:t>法定代表人或授权代表人签字：</w:t>
      </w:r>
    </w:p>
    <w:p w14:paraId="05FF5ED7">
      <w:pPr>
        <w:spacing w:line="360" w:lineRule="auto"/>
        <w:jc w:val="left"/>
        <w:rPr>
          <w:rFonts w:ascii="宋体" w:hAnsi="宋体" w:cs="宋体"/>
          <w:bCs/>
          <w:color w:val="000000" w:themeColor="text1"/>
          <w14:textFill>
            <w14:solidFill>
              <w14:schemeClr w14:val="tx1"/>
            </w14:solidFill>
          </w14:textFill>
        </w:rPr>
      </w:pPr>
    </w:p>
    <w:p w14:paraId="3B51E5C5">
      <w:pPr>
        <w:spacing w:line="360" w:lineRule="auto"/>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注：1、按照基本技术要求详细填列。</w:t>
      </w:r>
    </w:p>
    <w:p w14:paraId="6D8E79C2">
      <w:pPr>
        <w:spacing w:line="360" w:lineRule="auto"/>
        <w:ind w:firstLine="420" w:firstLineChars="200"/>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2、行数不够，可自行添加。</w:t>
      </w:r>
    </w:p>
    <w:p w14:paraId="75B75222">
      <w:pPr>
        <w:pStyle w:val="4"/>
        <w:spacing w:line="360" w:lineRule="auto"/>
        <w:jc w:val="center"/>
        <w:rPr>
          <w:rFonts w:ascii="宋体" w:hAnsi="宋体" w:cs="宋体"/>
          <w:bCs w:val="0"/>
          <w:color w:val="000000" w:themeColor="text1"/>
          <w14:textFill>
            <w14:solidFill>
              <w14:schemeClr w14:val="tx1"/>
            </w14:solidFill>
          </w14:textFill>
        </w:rPr>
      </w:pPr>
      <w:r>
        <w:rPr>
          <w:rFonts w:hint="eastAsia" w:ascii="宋体" w:hAnsi="宋体" w:cs="宋体"/>
          <w:bCs w:val="0"/>
          <w:color w:val="000000" w:themeColor="text1"/>
          <w14:textFill>
            <w14:solidFill>
              <w14:schemeClr w14:val="tx1"/>
            </w14:solidFill>
          </w14:textFill>
        </w:rPr>
        <w:br w:type="page"/>
      </w:r>
      <w:r>
        <w:rPr>
          <w:rFonts w:hint="eastAsia" w:ascii="宋体" w:hAnsi="宋体" w:cs="宋体"/>
          <w:bCs w:val="0"/>
          <w:color w:val="000000" w:themeColor="text1"/>
          <w14:textFill>
            <w14:solidFill>
              <w14:schemeClr w14:val="tx1"/>
            </w14:solidFill>
          </w14:textFill>
        </w:rPr>
        <w:t>六、商务条款响应及偏离表</w:t>
      </w:r>
      <w:bookmarkEnd w:id="39"/>
    </w:p>
    <w:tbl>
      <w:tblPr>
        <w:tblStyle w:val="25"/>
        <w:tblW w:w="878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45"/>
        <w:gridCol w:w="2513"/>
        <w:gridCol w:w="1845"/>
        <w:gridCol w:w="2786"/>
      </w:tblGrid>
      <w:tr w14:paraId="2C08BE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1645" w:type="dxa"/>
            <w:tcBorders>
              <w:top w:val="single" w:color="auto" w:sz="4" w:space="0"/>
              <w:left w:val="single" w:color="auto" w:sz="4" w:space="0"/>
              <w:bottom w:val="single" w:color="auto" w:sz="4" w:space="0"/>
              <w:right w:val="single" w:color="auto" w:sz="4" w:space="0"/>
            </w:tcBorders>
            <w:noWrap/>
          </w:tcPr>
          <w:p w14:paraId="4E9A58CA">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w:t>
            </w:r>
          </w:p>
        </w:tc>
        <w:tc>
          <w:tcPr>
            <w:tcW w:w="2513" w:type="dxa"/>
            <w:tcBorders>
              <w:top w:val="single" w:color="auto" w:sz="4" w:space="0"/>
              <w:left w:val="single" w:color="auto" w:sz="4" w:space="0"/>
              <w:bottom w:val="single" w:color="auto" w:sz="4" w:space="0"/>
              <w:right w:val="single" w:color="auto" w:sz="4" w:space="0"/>
            </w:tcBorders>
            <w:noWrap/>
          </w:tcPr>
          <w:p w14:paraId="1F9A1A1B">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采购文件要求</w:t>
            </w:r>
          </w:p>
        </w:tc>
        <w:tc>
          <w:tcPr>
            <w:tcW w:w="1845" w:type="dxa"/>
            <w:tcBorders>
              <w:top w:val="single" w:color="auto" w:sz="4" w:space="0"/>
              <w:left w:val="single" w:color="auto" w:sz="4" w:space="0"/>
              <w:bottom w:val="single" w:color="auto" w:sz="4" w:space="0"/>
              <w:right w:val="single" w:color="auto" w:sz="4" w:space="0"/>
            </w:tcBorders>
            <w:noWrap/>
          </w:tcPr>
          <w:p w14:paraId="493461DB">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是否响应</w:t>
            </w:r>
          </w:p>
        </w:tc>
        <w:tc>
          <w:tcPr>
            <w:tcW w:w="2786" w:type="dxa"/>
            <w:tcBorders>
              <w:top w:val="single" w:color="auto" w:sz="4" w:space="0"/>
              <w:left w:val="single" w:color="auto" w:sz="4" w:space="0"/>
              <w:bottom w:val="single" w:color="auto" w:sz="4" w:space="0"/>
              <w:right w:val="single" w:color="auto" w:sz="4" w:space="0"/>
            </w:tcBorders>
            <w:noWrap/>
          </w:tcPr>
          <w:p w14:paraId="4B5B9AF5">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供应商的承诺或说明</w:t>
            </w:r>
          </w:p>
        </w:tc>
      </w:tr>
      <w:tr w14:paraId="1F0357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1645" w:type="dxa"/>
            <w:tcBorders>
              <w:top w:val="single" w:color="auto" w:sz="4" w:space="0"/>
              <w:left w:val="single" w:color="auto" w:sz="4" w:space="0"/>
              <w:bottom w:val="single" w:color="auto" w:sz="4" w:space="0"/>
              <w:right w:val="single" w:color="auto" w:sz="4" w:space="0"/>
            </w:tcBorders>
            <w:noWrap/>
          </w:tcPr>
          <w:p w14:paraId="51AC40DA">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施工工期</w:t>
            </w:r>
          </w:p>
        </w:tc>
        <w:tc>
          <w:tcPr>
            <w:tcW w:w="2513" w:type="dxa"/>
            <w:tcBorders>
              <w:top w:val="single" w:color="auto" w:sz="4" w:space="0"/>
              <w:left w:val="single" w:color="auto" w:sz="4" w:space="0"/>
              <w:bottom w:val="single" w:color="auto" w:sz="4" w:space="0"/>
              <w:right w:val="single" w:color="auto" w:sz="4" w:space="0"/>
            </w:tcBorders>
            <w:noWrap/>
          </w:tcPr>
          <w:p w14:paraId="2375F519">
            <w:pPr>
              <w:snapToGrid w:val="0"/>
              <w:spacing w:before="156" w:beforeLines="50" w:line="360" w:lineRule="auto"/>
              <w:jc w:val="center"/>
              <w:rPr>
                <w:rFonts w:ascii="宋体" w:hAnsi="宋体" w:cs="宋体"/>
                <w:color w:val="000000" w:themeColor="text1"/>
                <w:szCs w:val="21"/>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noWrap/>
          </w:tcPr>
          <w:p w14:paraId="166FC01D">
            <w:pPr>
              <w:snapToGrid w:val="0"/>
              <w:spacing w:before="156" w:beforeLines="50" w:line="360" w:lineRule="auto"/>
              <w:ind w:left="43"/>
              <w:jc w:val="center"/>
              <w:rPr>
                <w:rFonts w:ascii="宋体" w:hAnsi="宋体" w:cs="宋体"/>
                <w:color w:val="000000" w:themeColor="text1"/>
                <w:szCs w:val="21"/>
                <w14:textFill>
                  <w14:solidFill>
                    <w14:schemeClr w14:val="tx1"/>
                  </w14:solidFill>
                </w14:textFill>
              </w:rPr>
            </w:pPr>
          </w:p>
        </w:tc>
        <w:tc>
          <w:tcPr>
            <w:tcW w:w="2786" w:type="dxa"/>
            <w:tcBorders>
              <w:top w:val="single" w:color="auto" w:sz="4" w:space="0"/>
              <w:left w:val="single" w:color="auto" w:sz="4" w:space="0"/>
              <w:bottom w:val="single" w:color="auto" w:sz="4" w:space="0"/>
              <w:right w:val="single" w:color="auto" w:sz="4" w:space="0"/>
            </w:tcBorders>
            <w:noWrap/>
          </w:tcPr>
          <w:p w14:paraId="5146C695">
            <w:pPr>
              <w:snapToGrid w:val="0"/>
              <w:spacing w:before="156" w:beforeLines="50" w:line="360" w:lineRule="auto"/>
              <w:ind w:left="43"/>
              <w:jc w:val="center"/>
              <w:rPr>
                <w:rFonts w:ascii="宋体" w:hAnsi="宋体" w:cs="宋体"/>
                <w:color w:val="000000" w:themeColor="text1"/>
                <w:szCs w:val="21"/>
                <w14:textFill>
                  <w14:solidFill>
                    <w14:schemeClr w14:val="tx1"/>
                  </w14:solidFill>
                </w14:textFill>
              </w:rPr>
            </w:pPr>
          </w:p>
        </w:tc>
      </w:tr>
      <w:tr w14:paraId="1CC04A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645" w:type="dxa"/>
            <w:tcBorders>
              <w:top w:val="single" w:color="auto" w:sz="4" w:space="0"/>
              <w:left w:val="single" w:color="auto" w:sz="4" w:space="0"/>
              <w:bottom w:val="single" w:color="auto" w:sz="4" w:space="0"/>
              <w:right w:val="single" w:color="auto" w:sz="4" w:space="0"/>
            </w:tcBorders>
            <w:noWrap/>
          </w:tcPr>
          <w:p w14:paraId="7E5A37F1">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施工地点</w:t>
            </w:r>
          </w:p>
        </w:tc>
        <w:tc>
          <w:tcPr>
            <w:tcW w:w="2513" w:type="dxa"/>
            <w:tcBorders>
              <w:top w:val="single" w:color="auto" w:sz="4" w:space="0"/>
              <w:left w:val="single" w:color="auto" w:sz="4" w:space="0"/>
              <w:bottom w:val="single" w:color="auto" w:sz="4" w:space="0"/>
              <w:right w:val="single" w:color="auto" w:sz="4" w:space="0"/>
            </w:tcBorders>
            <w:noWrap/>
          </w:tcPr>
          <w:p w14:paraId="19E5746D">
            <w:pPr>
              <w:snapToGrid w:val="0"/>
              <w:spacing w:before="156" w:beforeLines="50" w:line="360" w:lineRule="auto"/>
              <w:rPr>
                <w:rFonts w:ascii="宋体" w:hAnsi="宋体" w:cs="宋体"/>
                <w:color w:val="000000" w:themeColor="text1"/>
                <w:szCs w:val="21"/>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noWrap/>
          </w:tcPr>
          <w:p w14:paraId="0CD73E06">
            <w:pPr>
              <w:snapToGrid w:val="0"/>
              <w:spacing w:before="156" w:beforeLines="50" w:line="360" w:lineRule="auto"/>
              <w:ind w:left="43"/>
              <w:jc w:val="center"/>
              <w:rPr>
                <w:rFonts w:ascii="宋体" w:hAnsi="宋体" w:cs="宋体"/>
                <w:color w:val="000000" w:themeColor="text1"/>
                <w:szCs w:val="21"/>
                <w14:textFill>
                  <w14:solidFill>
                    <w14:schemeClr w14:val="tx1"/>
                  </w14:solidFill>
                </w14:textFill>
              </w:rPr>
            </w:pPr>
          </w:p>
        </w:tc>
        <w:tc>
          <w:tcPr>
            <w:tcW w:w="2786" w:type="dxa"/>
            <w:tcBorders>
              <w:top w:val="single" w:color="auto" w:sz="4" w:space="0"/>
              <w:left w:val="single" w:color="auto" w:sz="4" w:space="0"/>
              <w:bottom w:val="single" w:color="auto" w:sz="4" w:space="0"/>
              <w:right w:val="single" w:color="auto" w:sz="4" w:space="0"/>
            </w:tcBorders>
            <w:noWrap/>
          </w:tcPr>
          <w:p w14:paraId="62CA9957">
            <w:pPr>
              <w:snapToGrid w:val="0"/>
              <w:spacing w:before="156" w:beforeLines="50" w:line="360" w:lineRule="auto"/>
              <w:ind w:left="43"/>
              <w:jc w:val="center"/>
              <w:rPr>
                <w:rFonts w:ascii="宋体" w:hAnsi="宋体" w:cs="宋体"/>
                <w:color w:val="000000" w:themeColor="text1"/>
                <w:szCs w:val="21"/>
                <w14:textFill>
                  <w14:solidFill>
                    <w14:schemeClr w14:val="tx1"/>
                  </w14:solidFill>
                </w14:textFill>
              </w:rPr>
            </w:pPr>
          </w:p>
        </w:tc>
      </w:tr>
      <w:tr w14:paraId="11375F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1645" w:type="dxa"/>
            <w:tcBorders>
              <w:top w:val="single" w:color="auto" w:sz="4" w:space="0"/>
              <w:left w:val="single" w:color="auto" w:sz="4" w:space="0"/>
              <w:bottom w:val="single" w:color="auto" w:sz="4" w:space="0"/>
              <w:right w:val="single" w:color="auto" w:sz="4" w:space="0"/>
            </w:tcBorders>
            <w:noWrap/>
          </w:tcPr>
          <w:p w14:paraId="7D003964">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质量要求</w:t>
            </w:r>
          </w:p>
        </w:tc>
        <w:tc>
          <w:tcPr>
            <w:tcW w:w="2513" w:type="dxa"/>
            <w:tcBorders>
              <w:top w:val="single" w:color="auto" w:sz="4" w:space="0"/>
              <w:left w:val="single" w:color="auto" w:sz="4" w:space="0"/>
              <w:bottom w:val="single" w:color="auto" w:sz="4" w:space="0"/>
              <w:right w:val="single" w:color="auto" w:sz="4" w:space="0"/>
            </w:tcBorders>
            <w:noWrap/>
          </w:tcPr>
          <w:p w14:paraId="3469086D">
            <w:pPr>
              <w:snapToGrid w:val="0"/>
              <w:spacing w:before="156" w:beforeLines="50" w:line="360" w:lineRule="auto"/>
              <w:rPr>
                <w:rFonts w:ascii="宋体" w:hAnsi="宋体" w:cs="宋体"/>
                <w:color w:val="000000" w:themeColor="text1"/>
                <w:szCs w:val="21"/>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noWrap/>
          </w:tcPr>
          <w:p w14:paraId="1F0F94C1">
            <w:pPr>
              <w:snapToGrid w:val="0"/>
              <w:spacing w:before="156" w:beforeLines="50" w:line="360" w:lineRule="auto"/>
              <w:ind w:left="43"/>
              <w:jc w:val="center"/>
              <w:rPr>
                <w:rFonts w:ascii="宋体" w:hAnsi="宋体" w:cs="宋体"/>
                <w:color w:val="000000" w:themeColor="text1"/>
                <w:szCs w:val="21"/>
                <w14:textFill>
                  <w14:solidFill>
                    <w14:schemeClr w14:val="tx1"/>
                  </w14:solidFill>
                </w14:textFill>
              </w:rPr>
            </w:pPr>
          </w:p>
        </w:tc>
        <w:tc>
          <w:tcPr>
            <w:tcW w:w="2786" w:type="dxa"/>
            <w:tcBorders>
              <w:top w:val="single" w:color="auto" w:sz="4" w:space="0"/>
              <w:left w:val="single" w:color="auto" w:sz="4" w:space="0"/>
              <w:bottom w:val="single" w:color="auto" w:sz="4" w:space="0"/>
              <w:right w:val="single" w:color="auto" w:sz="4" w:space="0"/>
            </w:tcBorders>
            <w:noWrap/>
          </w:tcPr>
          <w:p w14:paraId="6FAA64BA">
            <w:pPr>
              <w:snapToGrid w:val="0"/>
              <w:spacing w:before="156" w:beforeLines="50" w:line="360" w:lineRule="auto"/>
              <w:ind w:left="43"/>
              <w:jc w:val="center"/>
              <w:rPr>
                <w:rFonts w:ascii="宋体" w:hAnsi="宋体" w:cs="宋体"/>
                <w:color w:val="000000" w:themeColor="text1"/>
                <w:szCs w:val="21"/>
                <w14:textFill>
                  <w14:solidFill>
                    <w14:schemeClr w14:val="tx1"/>
                  </w14:solidFill>
                </w14:textFill>
              </w:rPr>
            </w:pPr>
          </w:p>
        </w:tc>
      </w:tr>
      <w:tr w14:paraId="0C6588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1645" w:type="dxa"/>
            <w:tcBorders>
              <w:top w:val="single" w:color="auto" w:sz="4" w:space="0"/>
              <w:left w:val="single" w:color="auto" w:sz="4" w:space="0"/>
              <w:bottom w:val="single" w:color="auto" w:sz="4" w:space="0"/>
              <w:right w:val="single" w:color="auto" w:sz="4" w:space="0"/>
            </w:tcBorders>
            <w:noWrap/>
          </w:tcPr>
          <w:p w14:paraId="21ED845E">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付款方式</w:t>
            </w:r>
          </w:p>
        </w:tc>
        <w:tc>
          <w:tcPr>
            <w:tcW w:w="2513" w:type="dxa"/>
            <w:tcBorders>
              <w:top w:val="single" w:color="auto" w:sz="4" w:space="0"/>
              <w:left w:val="single" w:color="auto" w:sz="4" w:space="0"/>
              <w:bottom w:val="single" w:color="auto" w:sz="4" w:space="0"/>
              <w:right w:val="single" w:color="auto" w:sz="4" w:space="0"/>
            </w:tcBorders>
            <w:noWrap/>
          </w:tcPr>
          <w:p w14:paraId="057BF665">
            <w:pPr>
              <w:snapToGrid w:val="0"/>
              <w:spacing w:before="156" w:beforeLines="50" w:line="360" w:lineRule="auto"/>
              <w:rPr>
                <w:rFonts w:ascii="宋体" w:hAnsi="宋体" w:cs="宋体"/>
                <w:color w:val="000000" w:themeColor="text1"/>
                <w:szCs w:val="21"/>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noWrap/>
          </w:tcPr>
          <w:p w14:paraId="750CC64B">
            <w:pPr>
              <w:snapToGrid w:val="0"/>
              <w:spacing w:before="156" w:beforeLines="50" w:line="360" w:lineRule="auto"/>
              <w:jc w:val="center"/>
              <w:rPr>
                <w:rFonts w:ascii="宋体" w:hAnsi="宋体" w:cs="宋体"/>
                <w:color w:val="000000" w:themeColor="text1"/>
                <w:szCs w:val="21"/>
                <w14:textFill>
                  <w14:solidFill>
                    <w14:schemeClr w14:val="tx1"/>
                  </w14:solidFill>
                </w14:textFill>
              </w:rPr>
            </w:pPr>
          </w:p>
        </w:tc>
        <w:tc>
          <w:tcPr>
            <w:tcW w:w="2786" w:type="dxa"/>
            <w:tcBorders>
              <w:top w:val="single" w:color="auto" w:sz="4" w:space="0"/>
              <w:left w:val="single" w:color="auto" w:sz="4" w:space="0"/>
              <w:bottom w:val="single" w:color="auto" w:sz="4" w:space="0"/>
              <w:right w:val="single" w:color="auto" w:sz="4" w:space="0"/>
            </w:tcBorders>
            <w:noWrap/>
          </w:tcPr>
          <w:p w14:paraId="6FA71A5E">
            <w:pPr>
              <w:snapToGrid w:val="0"/>
              <w:spacing w:before="156" w:beforeLines="50" w:line="360" w:lineRule="auto"/>
              <w:jc w:val="center"/>
              <w:rPr>
                <w:rFonts w:ascii="宋体" w:hAnsi="宋体" w:cs="宋体"/>
                <w:color w:val="000000" w:themeColor="text1"/>
                <w:szCs w:val="21"/>
                <w14:textFill>
                  <w14:solidFill>
                    <w14:schemeClr w14:val="tx1"/>
                  </w14:solidFill>
                </w14:textFill>
              </w:rPr>
            </w:pPr>
          </w:p>
        </w:tc>
      </w:tr>
      <w:tr w14:paraId="7499FC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1645" w:type="dxa"/>
            <w:tcBorders>
              <w:top w:val="single" w:color="auto" w:sz="4" w:space="0"/>
              <w:left w:val="single" w:color="auto" w:sz="4" w:space="0"/>
              <w:bottom w:val="single" w:color="auto" w:sz="4" w:space="0"/>
              <w:right w:val="single" w:color="auto" w:sz="4" w:space="0"/>
            </w:tcBorders>
            <w:noWrap/>
          </w:tcPr>
          <w:p w14:paraId="69C5499E">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其他</w:t>
            </w:r>
          </w:p>
        </w:tc>
        <w:tc>
          <w:tcPr>
            <w:tcW w:w="2513" w:type="dxa"/>
            <w:tcBorders>
              <w:top w:val="single" w:color="auto" w:sz="4" w:space="0"/>
              <w:left w:val="single" w:color="auto" w:sz="4" w:space="0"/>
              <w:bottom w:val="single" w:color="auto" w:sz="4" w:space="0"/>
              <w:right w:val="single" w:color="auto" w:sz="4" w:space="0"/>
            </w:tcBorders>
            <w:noWrap/>
          </w:tcPr>
          <w:p w14:paraId="353796DD">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tc>
        <w:tc>
          <w:tcPr>
            <w:tcW w:w="1845" w:type="dxa"/>
            <w:tcBorders>
              <w:top w:val="single" w:color="auto" w:sz="4" w:space="0"/>
              <w:left w:val="single" w:color="auto" w:sz="4" w:space="0"/>
              <w:bottom w:val="single" w:color="auto" w:sz="4" w:space="0"/>
              <w:right w:val="single" w:color="auto" w:sz="4" w:space="0"/>
            </w:tcBorders>
            <w:noWrap/>
          </w:tcPr>
          <w:p w14:paraId="0C9C0F7F">
            <w:pPr>
              <w:snapToGrid w:val="0"/>
              <w:spacing w:before="156" w:beforeLines="50" w:line="360" w:lineRule="auto"/>
              <w:jc w:val="center"/>
              <w:rPr>
                <w:rFonts w:ascii="宋体" w:hAnsi="宋体" w:cs="宋体"/>
                <w:color w:val="000000" w:themeColor="text1"/>
                <w:szCs w:val="21"/>
                <w14:textFill>
                  <w14:solidFill>
                    <w14:schemeClr w14:val="tx1"/>
                  </w14:solidFill>
                </w14:textFill>
              </w:rPr>
            </w:pPr>
          </w:p>
        </w:tc>
        <w:tc>
          <w:tcPr>
            <w:tcW w:w="2786" w:type="dxa"/>
            <w:tcBorders>
              <w:top w:val="single" w:color="auto" w:sz="4" w:space="0"/>
              <w:left w:val="single" w:color="auto" w:sz="4" w:space="0"/>
              <w:bottom w:val="single" w:color="auto" w:sz="4" w:space="0"/>
              <w:right w:val="single" w:color="auto" w:sz="4" w:space="0"/>
            </w:tcBorders>
            <w:noWrap/>
          </w:tcPr>
          <w:p w14:paraId="17A231DD">
            <w:pPr>
              <w:snapToGrid w:val="0"/>
              <w:spacing w:before="156" w:beforeLines="50" w:line="360" w:lineRule="auto"/>
              <w:jc w:val="center"/>
              <w:rPr>
                <w:rFonts w:ascii="宋体" w:hAnsi="宋体" w:cs="宋体"/>
                <w:color w:val="000000" w:themeColor="text1"/>
                <w:szCs w:val="21"/>
                <w14:textFill>
                  <w14:solidFill>
                    <w14:schemeClr w14:val="tx1"/>
                  </w14:solidFill>
                </w14:textFill>
              </w:rPr>
            </w:pPr>
          </w:p>
        </w:tc>
      </w:tr>
    </w:tbl>
    <w:p w14:paraId="6ADDDB7F">
      <w:pPr>
        <w:widowControl/>
        <w:spacing w:line="360" w:lineRule="auto"/>
        <w:jc w:val="left"/>
        <w:rPr>
          <w:rFonts w:ascii="宋体" w:hAnsi="宋体" w:cs="宋体"/>
          <w:b/>
          <w:color w:val="000000" w:themeColor="text1"/>
          <w14:textFill>
            <w14:solidFill>
              <w14:schemeClr w14:val="tx1"/>
            </w14:solidFill>
          </w14:textFill>
        </w:rPr>
      </w:pPr>
      <w:bookmarkStart w:id="40" w:name="_Hlt26955064"/>
      <w:bookmarkEnd w:id="40"/>
      <w:bookmarkStart w:id="41" w:name="_Hlt26609391"/>
      <w:bookmarkEnd w:id="41"/>
      <w:bookmarkStart w:id="42" w:name="_Hlt24879081"/>
      <w:bookmarkEnd w:id="42"/>
      <w:bookmarkStart w:id="43" w:name="_Hlt26671372"/>
      <w:bookmarkEnd w:id="43"/>
      <w:bookmarkStart w:id="44" w:name="_Hlt26671343"/>
      <w:bookmarkEnd w:id="44"/>
      <w:bookmarkStart w:id="45" w:name="_Hlt26955056"/>
      <w:bookmarkEnd w:id="45"/>
      <w:bookmarkStart w:id="46" w:name="_Hlt26782999"/>
      <w:bookmarkEnd w:id="46"/>
      <w:bookmarkStart w:id="47" w:name="_Hlt26580838"/>
      <w:bookmarkEnd w:id="47"/>
      <w:r>
        <w:rPr>
          <w:rFonts w:hint="eastAsia" w:ascii="宋体" w:hAnsi="宋体" w:cs="宋体"/>
          <w:b/>
          <w:color w:val="000000" w:themeColor="text1"/>
          <w14:textFill>
            <w14:solidFill>
              <w14:schemeClr w14:val="tx1"/>
            </w14:solidFill>
          </w14:textFill>
        </w:rPr>
        <w:br w:type="page"/>
      </w:r>
    </w:p>
    <w:p w14:paraId="4A9AD490">
      <w:pPr>
        <w:spacing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项目负责人无在建工程承诺书 </w:t>
      </w:r>
    </w:p>
    <w:p w14:paraId="3A83F3FD">
      <w:pPr>
        <w:widowControl/>
        <w:spacing w:line="360" w:lineRule="auto"/>
        <w:jc w:val="center"/>
        <w:rPr>
          <w:rFonts w:ascii="宋体" w:hAnsi="宋体" w:cs="宋体"/>
          <w:b/>
          <w:color w:val="000000" w:themeColor="text1"/>
          <w:sz w:val="28"/>
          <w:szCs w:val="28"/>
          <w14:textFill>
            <w14:solidFill>
              <w14:schemeClr w14:val="tx1"/>
            </w14:solidFill>
          </w14:textFill>
        </w:rPr>
      </w:pPr>
    </w:p>
    <w:p w14:paraId="7F142896">
      <w:pPr>
        <w:spacing w:line="360" w:lineRule="auto"/>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致：</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（采购人名称）</w:t>
      </w:r>
    </w:p>
    <w:p w14:paraId="0AA24004">
      <w:pPr>
        <w:spacing w:line="360" w:lineRule="auto"/>
        <w:ind w:firstLine="420" w:firstLineChars="200"/>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我公司自愿参加贵单位采购编号为</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的</w:t>
      </w:r>
      <w:r>
        <w:rPr>
          <w:rFonts w:hint="eastAsia" w:ascii="宋体" w:hAnsi="宋体" w:cs="宋体"/>
          <w:bCs/>
          <w:color w:val="000000" w:themeColor="text1"/>
          <w:u w:val="single"/>
          <w14:textFill>
            <w14:solidFill>
              <w14:schemeClr w14:val="tx1"/>
            </w14:solidFill>
          </w14:textFill>
        </w:rPr>
        <w:t xml:space="preserve">        （项目名称）</w:t>
      </w:r>
      <w:r>
        <w:rPr>
          <w:rFonts w:hint="eastAsia" w:ascii="宋体" w:hAnsi="宋体" w:cs="宋体"/>
          <w:bCs/>
          <w:color w:val="000000" w:themeColor="text1"/>
          <w14:textFill>
            <w14:solidFill>
              <w14:schemeClr w14:val="tx1"/>
            </w14:solidFill>
          </w14:textFill>
        </w:rPr>
        <w:t>的磋商，并接受对我公司的资格审查，我公司承诺：根据贵单位（公司）提出的条件标准和要求，本公司没有因骗取中标或者严重违约以及发生重大工程质量、安全生产事故等问题，被有关部门暂停投标资格并在暂停期内。</w:t>
      </w:r>
    </w:p>
    <w:p w14:paraId="0B10538C">
      <w:pPr>
        <w:spacing w:line="360" w:lineRule="auto"/>
        <w:ind w:firstLine="420" w:firstLineChars="200"/>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拟任项目负责人</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身份证号码</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注册证书号</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无任何在建工程项目。本公司递交的采购文件中的内容没有隐瞒、虚假、伪造等弄虚作假行为。发现该行为，贵公司可以拒绝我公司投标，如已中标，可取消我公司中标资格，并接受对我公司弄虚作假、违反公平和诚实信用原则做出的任何处理。</w:t>
      </w:r>
    </w:p>
    <w:p w14:paraId="6A3395D2">
      <w:pPr>
        <w:spacing w:line="360" w:lineRule="auto"/>
        <w:jc w:val="left"/>
        <w:rPr>
          <w:rFonts w:ascii="宋体" w:hAnsi="宋体" w:cs="宋体"/>
          <w:bCs/>
          <w:color w:val="000000" w:themeColor="text1"/>
          <w14:textFill>
            <w14:solidFill>
              <w14:schemeClr w14:val="tx1"/>
            </w14:solidFill>
          </w14:textFill>
        </w:rPr>
      </w:pPr>
    </w:p>
    <w:p w14:paraId="4346E0D1">
      <w:pPr>
        <w:spacing w:line="360" w:lineRule="auto"/>
        <w:jc w:val="left"/>
        <w:rPr>
          <w:rFonts w:ascii="宋体" w:hAnsi="宋体" w:cs="宋体"/>
          <w:bCs/>
          <w:color w:val="000000" w:themeColor="text1"/>
          <w14:textFill>
            <w14:solidFill>
              <w14:schemeClr w14:val="tx1"/>
            </w14:solidFill>
          </w14:textFill>
        </w:rPr>
      </w:pPr>
    </w:p>
    <w:p w14:paraId="1A7EFCA3">
      <w:pPr>
        <w:spacing w:line="360" w:lineRule="auto"/>
        <w:jc w:val="left"/>
        <w:rPr>
          <w:rFonts w:ascii="宋体" w:hAnsi="宋体" w:cs="宋体"/>
          <w:bCs/>
          <w:color w:val="000000" w:themeColor="text1"/>
          <w14:textFill>
            <w14:solidFill>
              <w14:schemeClr w14:val="tx1"/>
            </w14:solidFill>
          </w14:textFill>
        </w:rPr>
      </w:pPr>
    </w:p>
    <w:p w14:paraId="1F577229">
      <w:pPr>
        <w:spacing w:line="360" w:lineRule="auto"/>
        <w:ind w:firstLine="4410" w:firstLineChars="2100"/>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企业名称（盖章）：</w:t>
      </w:r>
    </w:p>
    <w:p w14:paraId="3D567BCF">
      <w:pPr>
        <w:spacing w:line="360" w:lineRule="auto"/>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法定代表人签名：</w:t>
      </w:r>
    </w:p>
    <w:p w14:paraId="1926B753">
      <w:pPr>
        <w:spacing w:line="360" w:lineRule="auto"/>
        <w:ind w:firstLine="4410" w:firstLineChars="2100"/>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项目负责人签名：</w:t>
      </w:r>
    </w:p>
    <w:p w14:paraId="46595D6D">
      <w:pPr>
        <w:spacing w:line="360" w:lineRule="auto"/>
        <w:rPr>
          <w:rFonts w:ascii="宋体" w:hAnsi="宋体" w:cs="宋体"/>
          <w:b/>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年   月  日</w:t>
      </w:r>
      <w:r>
        <w:rPr>
          <w:rFonts w:hint="eastAsia" w:ascii="宋体" w:hAnsi="宋体" w:cs="宋体"/>
          <w:b/>
          <w:color w:val="000000" w:themeColor="text1"/>
          <w14:textFill>
            <w14:solidFill>
              <w14:schemeClr w14:val="tx1"/>
            </w14:solidFill>
          </w14:textFill>
        </w:rPr>
        <w:br w:type="page"/>
      </w:r>
    </w:p>
    <w:p w14:paraId="4448D39F">
      <w:pPr>
        <w:spacing w:after="312" w:afterLines="100"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主要标的信息（成交后将公示）</w:t>
      </w:r>
    </w:p>
    <w:p w14:paraId="39A6F56E">
      <w:pPr>
        <w:spacing w:after="312" w:afterLines="100" w:line="360" w:lineRule="auto"/>
        <w:rPr>
          <w:rFonts w:ascii="宋体" w:hAnsi="宋体" w:cs="宋体"/>
          <w:b/>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供应商全称：</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9"/>
      </w:tblGrid>
      <w:tr w14:paraId="0D4BF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8149" w:type="dxa"/>
            <w:noWrap/>
          </w:tcPr>
          <w:p w14:paraId="15055A86">
            <w:pPr>
              <w:spacing w:line="360" w:lineRule="auto"/>
              <w:jc w:val="center"/>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工程类</w:t>
            </w:r>
          </w:p>
        </w:tc>
      </w:tr>
      <w:tr w14:paraId="2FE51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4" w:hRule="atLeast"/>
        </w:trPr>
        <w:tc>
          <w:tcPr>
            <w:tcW w:w="8149" w:type="dxa"/>
            <w:noWrap/>
          </w:tcPr>
          <w:p w14:paraId="3AEEC057">
            <w:pPr>
              <w:spacing w:line="360" w:lineRule="auto"/>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名称：</w:t>
            </w:r>
          </w:p>
          <w:p w14:paraId="337FEE7F">
            <w:pPr>
              <w:spacing w:line="360" w:lineRule="auto"/>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施工范围：</w:t>
            </w:r>
          </w:p>
          <w:p w14:paraId="0C2D5A8B">
            <w:pPr>
              <w:spacing w:line="360" w:lineRule="auto"/>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施工工期：</w:t>
            </w:r>
          </w:p>
          <w:p w14:paraId="208B4647">
            <w:pPr>
              <w:spacing w:line="360" w:lineRule="auto"/>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项目经理：</w:t>
            </w:r>
          </w:p>
          <w:p w14:paraId="1454F8F2">
            <w:pPr>
              <w:spacing w:line="360" w:lineRule="auto"/>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执业证书信息：</w:t>
            </w:r>
          </w:p>
        </w:tc>
      </w:tr>
    </w:tbl>
    <w:p w14:paraId="01B360DE">
      <w:pPr>
        <w:widowControl/>
        <w:spacing w:line="360" w:lineRule="auto"/>
        <w:jc w:val="left"/>
        <w:rPr>
          <w:rFonts w:ascii="宋体" w:hAnsi="宋体" w:cs="宋体"/>
          <w:color w:val="000000" w:themeColor="text1"/>
          <w14:textFill>
            <w14:solidFill>
              <w14:schemeClr w14:val="tx1"/>
            </w14:solidFill>
          </w14:textFill>
        </w:rPr>
      </w:pPr>
    </w:p>
    <w:p w14:paraId="5D60691B">
      <w:pPr>
        <w:pStyle w:val="6"/>
        <w:spacing w:line="360" w:lineRule="auto"/>
        <w:rPr>
          <w:rFonts w:ascii="宋体" w:hAnsi="宋体" w:cs="宋体"/>
          <w:color w:val="000000" w:themeColor="text1"/>
          <w14:textFill>
            <w14:solidFill>
              <w14:schemeClr w14:val="tx1"/>
            </w14:solidFill>
          </w14:textFill>
        </w:rPr>
      </w:pPr>
    </w:p>
    <w:p w14:paraId="5CE6259A">
      <w:pPr>
        <w:spacing w:line="360" w:lineRule="auto"/>
        <w:rPr>
          <w:rFonts w:ascii="宋体" w:hAnsi="宋体" w:cs="宋体"/>
          <w:color w:val="000000" w:themeColor="text1"/>
          <w14:textFill>
            <w14:solidFill>
              <w14:schemeClr w14:val="tx1"/>
            </w14:solidFill>
          </w14:textFill>
        </w:rPr>
      </w:pPr>
    </w:p>
    <w:p w14:paraId="37305043">
      <w:pPr>
        <w:pStyle w:val="6"/>
        <w:spacing w:line="360" w:lineRule="auto"/>
        <w:rPr>
          <w:rFonts w:ascii="宋体" w:hAnsi="宋体" w:cs="宋体"/>
          <w:color w:val="000000" w:themeColor="text1"/>
          <w14:textFill>
            <w14:solidFill>
              <w14:schemeClr w14:val="tx1"/>
            </w14:solidFill>
          </w14:textFill>
        </w:rPr>
      </w:pPr>
    </w:p>
    <w:p w14:paraId="4451B876">
      <w:pPr>
        <w:spacing w:line="360" w:lineRule="auto"/>
        <w:rPr>
          <w:rFonts w:ascii="宋体" w:hAnsi="宋体" w:cs="宋体"/>
          <w:color w:val="000000" w:themeColor="text1"/>
          <w14:textFill>
            <w14:solidFill>
              <w14:schemeClr w14:val="tx1"/>
            </w14:solidFill>
          </w14:textFill>
        </w:rPr>
      </w:pPr>
    </w:p>
    <w:p w14:paraId="1F33E6B5">
      <w:pPr>
        <w:pStyle w:val="6"/>
        <w:spacing w:line="360" w:lineRule="auto"/>
        <w:rPr>
          <w:rFonts w:ascii="宋体" w:hAnsi="宋体" w:cs="宋体"/>
          <w:color w:val="000000" w:themeColor="text1"/>
          <w14:textFill>
            <w14:solidFill>
              <w14:schemeClr w14:val="tx1"/>
            </w14:solidFill>
          </w14:textFill>
        </w:rPr>
      </w:pPr>
    </w:p>
    <w:p w14:paraId="39A45A69">
      <w:pPr>
        <w:spacing w:line="360" w:lineRule="auto"/>
        <w:rPr>
          <w:rFonts w:ascii="宋体" w:hAnsi="宋体" w:cs="宋体"/>
          <w:color w:val="000000" w:themeColor="text1"/>
          <w14:textFill>
            <w14:solidFill>
              <w14:schemeClr w14:val="tx1"/>
            </w14:solidFill>
          </w14:textFill>
        </w:rPr>
      </w:pPr>
    </w:p>
    <w:p w14:paraId="2767E54F">
      <w:pPr>
        <w:pStyle w:val="6"/>
        <w:spacing w:line="360" w:lineRule="auto"/>
        <w:rPr>
          <w:rFonts w:ascii="宋体" w:hAnsi="宋体" w:cs="宋体"/>
          <w:color w:val="000000" w:themeColor="text1"/>
          <w14:textFill>
            <w14:solidFill>
              <w14:schemeClr w14:val="tx1"/>
            </w14:solidFill>
          </w14:textFill>
        </w:rPr>
      </w:pPr>
    </w:p>
    <w:p w14:paraId="71FBF9BC">
      <w:pPr>
        <w:spacing w:line="360" w:lineRule="auto"/>
        <w:rPr>
          <w:rFonts w:ascii="宋体" w:hAnsi="宋体" w:cs="宋体"/>
          <w:color w:val="000000" w:themeColor="text1"/>
          <w14:textFill>
            <w14:solidFill>
              <w14:schemeClr w14:val="tx1"/>
            </w14:solidFill>
          </w14:textFill>
        </w:rPr>
      </w:pPr>
    </w:p>
    <w:p w14:paraId="51B229FB">
      <w:pPr>
        <w:pStyle w:val="6"/>
        <w:spacing w:line="360" w:lineRule="auto"/>
        <w:rPr>
          <w:rFonts w:ascii="宋体" w:hAnsi="宋体" w:cs="宋体"/>
          <w:color w:val="000000" w:themeColor="text1"/>
          <w14:textFill>
            <w14:solidFill>
              <w14:schemeClr w14:val="tx1"/>
            </w14:solidFill>
          </w14:textFill>
        </w:rPr>
      </w:pPr>
    </w:p>
    <w:p w14:paraId="0DB002FE">
      <w:pPr>
        <w:spacing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联合体协议（如有）</w:t>
      </w:r>
    </w:p>
    <w:p w14:paraId="362B3F44">
      <w:pPr>
        <w:spacing w:line="360" w:lineRule="auto"/>
        <w:jc w:val="center"/>
        <w:rPr>
          <w:rFonts w:ascii="宋体" w:hAnsi="宋体" w:cs="宋体"/>
          <w:b/>
          <w:color w:val="000000" w:themeColor="text1"/>
          <w14:textFill>
            <w14:solidFill>
              <w14:schemeClr w14:val="tx1"/>
            </w14:solidFill>
          </w14:textFill>
        </w:rPr>
      </w:pPr>
    </w:p>
    <w:p w14:paraId="10CE485C">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（联合体中各供应商全称）在此达成以下协议：</w:t>
      </w:r>
    </w:p>
    <w:p w14:paraId="25E7CFDA">
      <w:pPr>
        <w:spacing w:line="360" w:lineRule="auto"/>
        <w:ind w:firstLine="645"/>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1、我们自愿组成联合体，参加（代理公司）组织的采购编号为（项目编号）（项目全称）的政府采购活动。</w:t>
      </w:r>
    </w:p>
    <w:p w14:paraId="5562BF77">
      <w:pPr>
        <w:spacing w:line="360" w:lineRule="auto"/>
        <w:ind w:firstLine="645"/>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4CA0A414">
      <w:pPr>
        <w:spacing w:line="360" w:lineRule="auto"/>
        <w:ind w:firstLine="645"/>
        <w:rPr>
          <w:rFonts w:ascii="宋体" w:hAnsi="宋体" w:cs="宋体"/>
          <w:color w:val="000000" w:themeColor="text1"/>
          <w14:textFill>
            <w14:solidFill>
              <w14:schemeClr w14:val="tx1"/>
            </w14:solidFill>
          </w14:textFill>
        </w:rPr>
      </w:pPr>
    </w:p>
    <w:p w14:paraId="2152F486">
      <w:pPr>
        <w:spacing w:line="360" w:lineRule="auto"/>
        <w:ind w:firstLine="4620" w:firstLineChars="2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所有供应商全称：</w:t>
      </w:r>
    </w:p>
    <w:p w14:paraId="28A33C69">
      <w:pPr>
        <w:spacing w:line="360" w:lineRule="auto"/>
        <w:ind w:firstLine="645"/>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法定代表人：  </w:t>
      </w:r>
    </w:p>
    <w:p w14:paraId="1A6803C1">
      <w:pPr>
        <w:spacing w:line="360" w:lineRule="auto"/>
        <w:ind w:firstLine="4620" w:firstLineChars="2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日       期：</w:t>
      </w:r>
    </w:p>
    <w:p w14:paraId="68BBEE3E">
      <w:pPr>
        <w:spacing w:line="360" w:lineRule="auto"/>
        <w:rPr>
          <w:rFonts w:ascii="宋体" w:hAnsi="宋体" w:cs="宋体"/>
          <w:color w:val="000000" w:themeColor="text1"/>
          <w14:textFill>
            <w14:solidFill>
              <w14:schemeClr w14:val="tx1"/>
            </w14:solidFill>
          </w14:textFill>
        </w:rPr>
      </w:pPr>
    </w:p>
    <w:sectPr>
      <w:footerReference r:id="rId11"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0A548">
    <w:pPr>
      <w:pStyle w:val="6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E5F36">
    <w:pPr>
      <w:pStyle w:val="67"/>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03C16">
    <w:pPr>
      <w:pStyle w:val="6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4"/>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a:effectLst/>
                    </wps:spPr>
                    <wps:txbx>
                      <w:txbxContent>
                        <w:p w14:paraId="2715C974">
                          <w:pPr>
                            <w:pStyle w:val="18"/>
                          </w:pPr>
                          <w:r>
                            <w:fldChar w:fldCharType="begin"/>
                          </w:r>
                          <w:r>
                            <w:instrText xml:space="preserve"> PAGE  \* MERGEFORMAT </w:instrText>
                          </w:r>
                          <w:r>
                            <w:fldChar w:fldCharType="separate"/>
                          </w:r>
                          <w:r>
                            <w:t>4</w:t>
                          </w:r>
                          <w:r>
                            <w:fldChar w:fldCharType="end"/>
                          </w:r>
                        </w:p>
                      </w:txbxContent>
                    </wps:txbx>
                    <wps:bodyPr rot="0" vert="horz" wrap="none" lIns="0" tIns="0" rIns="0" bIns="0" anchor="t" anchorCtr="0" upright="1">
                      <a:spAutoFit/>
                    </wps:bodyPr>
                  </wps:wsp>
                </a:graphicData>
              </a:graphic>
            </wp:anchor>
          </w:drawing>
        </mc:Choice>
        <mc:Fallback>
          <w:pict>
            <v:shape id="文本框 4"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HQ4WTkOAgAADwQAAA4AAABkcnMvZTJvRG9jLnhtbK1TS27bMBDdF+gd&#10;CO5r2andBILlII3hokD6AdIegKYoi6jIIYa0pfQA7Q26yqb7nsvn6JCS3DTdZNGNMCJn3sx787i8&#10;7EzDDgq9Blvw2WTKmbISSm13Bf/8afPigjMfhC1FA1YV/E55frl6/mzZulydQQ1NqZARiPV56wpe&#10;h+DyLPOyVkb4CThl6bICNCLQL+6yEkVL6KbJzqbTV1kLWDoEqbyn03V/yQdEfAogVJWWag1yb5QN&#10;PSqqRgSi5GvtPF+laatKyfChqrwKrCk4MQ3pS00o3sZvtlqKfIfC1VoOI4injPCIkxHaUtMT1FoE&#10;wfao/4EyWiJ4qMJEgsl6IkkRYjGbPtLmthZOJS4ktXcn0f3/g5XvDx+R6ZKcwJkVhhZ+/PH9eP/r&#10;+PMbm0d5Wudzyrp1lBe619DF1EjVuxuQXzyzcF0Lu1NXiNDWSpQ03ixWZg9KexwfQbbtOyipj9gH&#10;SEBdhSYCkhqM0Gk1d6fVqC4wSYeL8/OLBWeSbmYvZ/P5IjUQ+Vjr0Ic3CgyLQcGRFp+wxeHGhziL&#10;yMeU2MrCRjdNWn5j/zqgxP5EJfcM1ZFJHL6nEbptNyizhfKOOCH0zqJ3RUEN+JWzllxVcEuPiLPm&#10;rSVVogHHAMdgOwbCSioseOCsD69Db9S9Q72rCXfU/YqU2+hEKw7WzzDoTT5JbAdPRyM+/E9Zf97x&#10;6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Pi91E0AAAAAIBAAAPAAAAAAAAAAEAIAAAACIAAABk&#10;cnMvZG93bnJldi54bWxQSwECFAAUAAAACACHTuJAdDhZOQ4CAAAPBAAADgAAAAAAAAABACAAAAAf&#10;AQAAZHJzL2Uyb0RvYy54bWxQSwUGAAAAAAYABgBZAQAAnwUAAAAA&#10;">
              <v:fill on="f" focussize="0,0"/>
              <v:stroke on="f"/>
              <v:imagedata o:title=""/>
              <o:lock v:ext="edit" aspectratio="f"/>
              <v:textbox inset="0mm,0mm,0mm,0mm" style="mso-fit-shape-to-text:t;">
                <w:txbxContent>
                  <w:p w14:paraId="2715C974">
                    <w:pPr>
                      <w:pStyle w:val="18"/>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D2A10">
    <w:pPr>
      <w:pStyle w:val="67"/>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3"/>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a:effectLst/>
                    </wps:spPr>
                    <wps:txbx>
                      <w:txbxContent>
                        <w:p w14:paraId="65FDB3E9">
                          <w:pPr>
                            <w:pStyle w:val="18"/>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文本框 3" o:spid="_x0000_s1026" o:spt="202" type="#_x0000_t202" style="position:absolute;left:0pt;margin-top:0pt;height:10.35pt;width:4.55pt;mso-position-horizontal:center;mso-position-horizontal-relative:margin;mso-wrap-style:none;z-index:251660288;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HurIaYPAgAADwQAAA4AAABkcnMvZTJvRG9jLnhtbK1TS27bMBDdF+gd&#10;CO5r2UncBILlII3hokD6AdIegKYoi6jIIYa0JfcA7Q266qb7nsvn6JCS3DTdZNGNMCJn3sx787i4&#10;7kzD9gq9Blvw2WTKmbISSm23Bf/0cf3iijMfhC1FA1YV/KA8v14+f7ZoXa7OoIamVMgIxPq8dQWv&#10;Q3B5lnlZKyP8BJyydFkBGhHoF7dZiaIldNNkZ9Ppy6wFLB2CVN7T6aq/5AMiPgUQqkpLtQK5M8qG&#10;HhVVIwJR8rV2ni/TtFWlZHhfVV4F1hScmIb0pSYUb+I3Wy5EvkXhai2HEcRTRnjEyQhtqekJaiWC&#10;YDvU/0AZLRE8VGEiwWQ9kaQIsZhNH2lzXwunEheS2ruT6P7/wcp3+w/IdFnwM86sMLTw4/dvxx+/&#10;jj+/svMoT+t8Tln3jvJC9wo6Mk2i6t0dyM+eWbithd2qG0RoayVKGm8WK7MHpT2OjyCb9i2U1Efs&#10;AiSgrkITtSM1GKHTag6n1aguMEmH88vLqzlnkm5m57OLi3lqIPKx1qEPrxUYFoOCIy0+YYv9nQ9x&#10;FpGPKbGVhbVumrT8xv51QIn9iUruGaojkzh8TyN0m25QZgPlgTgh9M6id0VBDfiFs5ZcVXBLj4iz&#10;5o0lVaIBxwDHYDMGwkoqLHjgrA9vQ2/UnUO9rQl31P2GlFvrRCsO1s8w6E0+SWwHT0cjPvxPWX/e&#10;8fI3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z4vdRNAAAAACAQAADwAAAAAAAAABACAAAAAiAAAA&#10;ZHJzL2Rvd25yZXYueG1sUEsBAhQAFAAAAAgAh07iQHurIaYPAgAADwQAAA4AAAAAAAAAAQAgAAAA&#10;HwEAAGRycy9lMm9Eb2MueG1sUEsFBgAAAAAGAAYAWQEAAKAFAAAAAA==&#10;">
              <v:fill on="f" focussize="0,0"/>
              <v:stroke on="f"/>
              <v:imagedata o:title=""/>
              <o:lock v:ext="edit" aspectratio="f"/>
              <v:textbox inset="0mm,0mm,0mm,0mm" style="mso-fit-shape-to-text:t;">
                <w:txbxContent>
                  <w:p w14:paraId="65FDB3E9">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2EE96">
    <w:pPr>
      <w:pStyle w:val="18"/>
      <w:jc w:val="center"/>
    </w:pPr>
    <w:r>
      <w:fldChar w:fldCharType="begin"/>
    </w:r>
    <w:r>
      <w:instrText xml:space="preserve">PAGE   \* MERGEFORMAT</w:instrText>
    </w:r>
    <w:r>
      <w:fldChar w:fldCharType="separate"/>
    </w:r>
    <w:r>
      <w:rPr>
        <w:lang w:val="zh-CN"/>
      </w:rPr>
      <w:t>32</w:t>
    </w:r>
    <w:r>
      <w:rPr>
        <w:lang w:val="zh-CN"/>
      </w:rPr>
      <w:fldChar w:fldCharType="end"/>
    </w:r>
  </w:p>
  <w:p w14:paraId="1AA7C773">
    <w:pPr>
      <w:pStyle w:val="1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58F74">
    <w:pPr>
      <w:pStyle w:val="18"/>
      <w:jc w:val="center"/>
    </w:pPr>
    <w:r>
      <w:fldChar w:fldCharType="begin"/>
    </w:r>
    <w:r>
      <w:instrText xml:space="preserve">PAGE   \* MERGEFORMAT</w:instrText>
    </w:r>
    <w:r>
      <w:fldChar w:fldCharType="separate"/>
    </w:r>
    <w:r>
      <w:rPr>
        <w:lang w:val="zh-CN"/>
      </w:rPr>
      <w:t>47</w:t>
    </w:r>
    <w:r>
      <w:rPr>
        <w:lang w:val="zh-CN"/>
      </w:rPr>
      <w:fldChar w:fldCharType="end"/>
    </w:r>
  </w:p>
  <w:p w14:paraId="7FA74D18">
    <w:pPr>
      <w:pStyle w:val="1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FAF1C">
    <w:pPr>
      <w:pStyle w:val="19"/>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B3AC0">
    <w:pPr>
      <w:pStyle w:val="59"/>
      <w:pBdr>
        <w:bottom w:val="none" w:color="000000" w:sz="0" w:space="1"/>
      </w:pBdr>
      <w:jc w:val="right"/>
    </w:pPr>
  </w:p>
  <w:p w14:paraId="0C0F8C79">
    <w:pPr>
      <w:pStyle w:val="59"/>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3395F">
    <w:pPr>
      <w:pStyle w:val="1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4438FB"/>
    <w:multiLevelType w:val="multilevel"/>
    <w:tmpl w:val="144438FB"/>
    <w:lvl w:ilvl="0" w:tentative="0">
      <w:start w:val="1"/>
      <w:numFmt w:val="japaneseCounting"/>
      <w:lvlText w:val="第%1章"/>
      <w:lvlJc w:val="left"/>
      <w:pPr>
        <w:ind w:left="1080" w:hanging="10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RkOTBhNWRmOWY5NTUyZDFmZWZmZGI2MWE5MDg0MjQifQ=="/>
    <w:docVar w:name="KGWebUrl" w:val="http://172.21.7.96:7001/yzzfcg/OfficeServer"/>
  </w:docVars>
  <w:rsids>
    <w:rsidRoot w:val="00D2313D"/>
    <w:rsid w:val="000018AE"/>
    <w:rsid w:val="000037BD"/>
    <w:rsid w:val="00005303"/>
    <w:rsid w:val="00005502"/>
    <w:rsid w:val="00005999"/>
    <w:rsid w:val="00011820"/>
    <w:rsid w:val="00015472"/>
    <w:rsid w:val="000154CA"/>
    <w:rsid w:val="000254FF"/>
    <w:rsid w:val="00034A4C"/>
    <w:rsid w:val="00035F53"/>
    <w:rsid w:val="00036F14"/>
    <w:rsid w:val="00036F57"/>
    <w:rsid w:val="00036FE2"/>
    <w:rsid w:val="000379D2"/>
    <w:rsid w:val="000403A7"/>
    <w:rsid w:val="000421B5"/>
    <w:rsid w:val="00055C73"/>
    <w:rsid w:val="00056232"/>
    <w:rsid w:val="0005637C"/>
    <w:rsid w:val="000578C4"/>
    <w:rsid w:val="00057BB5"/>
    <w:rsid w:val="00065ED1"/>
    <w:rsid w:val="00072E2B"/>
    <w:rsid w:val="000775C8"/>
    <w:rsid w:val="00093DEB"/>
    <w:rsid w:val="00094243"/>
    <w:rsid w:val="000970FB"/>
    <w:rsid w:val="000971B7"/>
    <w:rsid w:val="0009758C"/>
    <w:rsid w:val="000A213B"/>
    <w:rsid w:val="000A4621"/>
    <w:rsid w:val="000A5008"/>
    <w:rsid w:val="000A64BB"/>
    <w:rsid w:val="000A7D86"/>
    <w:rsid w:val="000B5E69"/>
    <w:rsid w:val="000C70EE"/>
    <w:rsid w:val="000C7DD0"/>
    <w:rsid w:val="000D1CBF"/>
    <w:rsid w:val="000D2941"/>
    <w:rsid w:val="000D6C89"/>
    <w:rsid w:val="000D7544"/>
    <w:rsid w:val="000E1673"/>
    <w:rsid w:val="000F2E82"/>
    <w:rsid w:val="000F433A"/>
    <w:rsid w:val="000F6696"/>
    <w:rsid w:val="000F7949"/>
    <w:rsid w:val="00104BC6"/>
    <w:rsid w:val="00107955"/>
    <w:rsid w:val="001107A8"/>
    <w:rsid w:val="0011192D"/>
    <w:rsid w:val="001165F5"/>
    <w:rsid w:val="001219D8"/>
    <w:rsid w:val="00127BD5"/>
    <w:rsid w:val="00132C43"/>
    <w:rsid w:val="00136D83"/>
    <w:rsid w:val="00136F5F"/>
    <w:rsid w:val="00140064"/>
    <w:rsid w:val="001501A2"/>
    <w:rsid w:val="00156E61"/>
    <w:rsid w:val="00165D01"/>
    <w:rsid w:val="00166ECA"/>
    <w:rsid w:val="00175447"/>
    <w:rsid w:val="00182447"/>
    <w:rsid w:val="001844A7"/>
    <w:rsid w:val="001875C9"/>
    <w:rsid w:val="00194B57"/>
    <w:rsid w:val="00194E15"/>
    <w:rsid w:val="001A0680"/>
    <w:rsid w:val="001A3763"/>
    <w:rsid w:val="001A71AF"/>
    <w:rsid w:val="001B58D8"/>
    <w:rsid w:val="001B644D"/>
    <w:rsid w:val="001B71FB"/>
    <w:rsid w:val="001B7764"/>
    <w:rsid w:val="001C07C4"/>
    <w:rsid w:val="001C4685"/>
    <w:rsid w:val="001D197C"/>
    <w:rsid w:val="001D2E4D"/>
    <w:rsid w:val="001D38D0"/>
    <w:rsid w:val="001D551B"/>
    <w:rsid w:val="001D6E6B"/>
    <w:rsid w:val="001D7B3E"/>
    <w:rsid w:val="001E23EE"/>
    <w:rsid w:val="001E5267"/>
    <w:rsid w:val="001E71DD"/>
    <w:rsid w:val="001E7BF0"/>
    <w:rsid w:val="001F18FA"/>
    <w:rsid w:val="001F4066"/>
    <w:rsid w:val="001F7EF9"/>
    <w:rsid w:val="00205451"/>
    <w:rsid w:val="0020758E"/>
    <w:rsid w:val="00215B4C"/>
    <w:rsid w:val="00216A13"/>
    <w:rsid w:val="00217000"/>
    <w:rsid w:val="00217EE1"/>
    <w:rsid w:val="00226882"/>
    <w:rsid w:val="00230AC0"/>
    <w:rsid w:val="00232217"/>
    <w:rsid w:val="002326C0"/>
    <w:rsid w:val="00232F59"/>
    <w:rsid w:val="002459B8"/>
    <w:rsid w:val="0024784D"/>
    <w:rsid w:val="002570D6"/>
    <w:rsid w:val="00262B58"/>
    <w:rsid w:val="002636C0"/>
    <w:rsid w:val="00264B19"/>
    <w:rsid w:val="00277ABD"/>
    <w:rsid w:val="0028779A"/>
    <w:rsid w:val="0029096E"/>
    <w:rsid w:val="0029716A"/>
    <w:rsid w:val="002A6E6E"/>
    <w:rsid w:val="002B37AB"/>
    <w:rsid w:val="002B6C6F"/>
    <w:rsid w:val="002B6D8F"/>
    <w:rsid w:val="002C5E5B"/>
    <w:rsid w:val="002C7325"/>
    <w:rsid w:val="002C793D"/>
    <w:rsid w:val="002D11F2"/>
    <w:rsid w:val="002D385B"/>
    <w:rsid w:val="002D45A3"/>
    <w:rsid w:val="002D4D94"/>
    <w:rsid w:val="002D4E53"/>
    <w:rsid w:val="002D5DB6"/>
    <w:rsid w:val="002D6D5B"/>
    <w:rsid w:val="002E2EF2"/>
    <w:rsid w:val="002F0DCB"/>
    <w:rsid w:val="002F3F85"/>
    <w:rsid w:val="00301749"/>
    <w:rsid w:val="00304B2D"/>
    <w:rsid w:val="00305340"/>
    <w:rsid w:val="00305552"/>
    <w:rsid w:val="00306BD9"/>
    <w:rsid w:val="00307864"/>
    <w:rsid w:val="00310759"/>
    <w:rsid w:val="003139E4"/>
    <w:rsid w:val="0032070E"/>
    <w:rsid w:val="003214C8"/>
    <w:rsid w:val="003221A2"/>
    <w:rsid w:val="00327746"/>
    <w:rsid w:val="00327F6F"/>
    <w:rsid w:val="003318AB"/>
    <w:rsid w:val="00337D79"/>
    <w:rsid w:val="00337E0C"/>
    <w:rsid w:val="00340B0E"/>
    <w:rsid w:val="0035275A"/>
    <w:rsid w:val="003561AD"/>
    <w:rsid w:val="00361473"/>
    <w:rsid w:val="003622DB"/>
    <w:rsid w:val="00364CF7"/>
    <w:rsid w:val="00367D46"/>
    <w:rsid w:val="0037407F"/>
    <w:rsid w:val="00374829"/>
    <w:rsid w:val="00377594"/>
    <w:rsid w:val="003807C0"/>
    <w:rsid w:val="00386420"/>
    <w:rsid w:val="00386F2B"/>
    <w:rsid w:val="00395302"/>
    <w:rsid w:val="0039639D"/>
    <w:rsid w:val="003963B0"/>
    <w:rsid w:val="003969C5"/>
    <w:rsid w:val="003A250B"/>
    <w:rsid w:val="003A29E4"/>
    <w:rsid w:val="003A48A0"/>
    <w:rsid w:val="003A6513"/>
    <w:rsid w:val="003B391E"/>
    <w:rsid w:val="003B6661"/>
    <w:rsid w:val="003B693A"/>
    <w:rsid w:val="003B6A41"/>
    <w:rsid w:val="003B6A58"/>
    <w:rsid w:val="003C29AB"/>
    <w:rsid w:val="003C4D84"/>
    <w:rsid w:val="003C5197"/>
    <w:rsid w:val="003C5DE1"/>
    <w:rsid w:val="003D001D"/>
    <w:rsid w:val="003D0FEF"/>
    <w:rsid w:val="003D424A"/>
    <w:rsid w:val="003D433D"/>
    <w:rsid w:val="003D59C4"/>
    <w:rsid w:val="003D6851"/>
    <w:rsid w:val="003D7280"/>
    <w:rsid w:val="003E0753"/>
    <w:rsid w:val="003E1529"/>
    <w:rsid w:val="003E1CA7"/>
    <w:rsid w:val="003E7FCA"/>
    <w:rsid w:val="003F027D"/>
    <w:rsid w:val="003F0893"/>
    <w:rsid w:val="0040353F"/>
    <w:rsid w:val="00410B1C"/>
    <w:rsid w:val="00412264"/>
    <w:rsid w:val="00412B25"/>
    <w:rsid w:val="00412DB0"/>
    <w:rsid w:val="004133A7"/>
    <w:rsid w:val="0041716F"/>
    <w:rsid w:val="004209BA"/>
    <w:rsid w:val="0042300B"/>
    <w:rsid w:val="00423084"/>
    <w:rsid w:val="004246D6"/>
    <w:rsid w:val="00424D8E"/>
    <w:rsid w:val="00436874"/>
    <w:rsid w:val="00436FAA"/>
    <w:rsid w:val="00441D24"/>
    <w:rsid w:val="00450062"/>
    <w:rsid w:val="00450CA5"/>
    <w:rsid w:val="00452C11"/>
    <w:rsid w:val="00453D89"/>
    <w:rsid w:val="00454CD4"/>
    <w:rsid w:val="00457D47"/>
    <w:rsid w:val="00464971"/>
    <w:rsid w:val="00467DC8"/>
    <w:rsid w:val="004735D3"/>
    <w:rsid w:val="004918E3"/>
    <w:rsid w:val="004929DD"/>
    <w:rsid w:val="004945EA"/>
    <w:rsid w:val="0049525A"/>
    <w:rsid w:val="00497378"/>
    <w:rsid w:val="004A2614"/>
    <w:rsid w:val="004A40C7"/>
    <w:rsid w:val="004A45B4"/>
    <w:rsid w:val="004B0CF8"/>
    <w:rsid w:val="004B5495"/>
    <w:rsid w:val="004B5BE9"/>
    <w:rsid w:val="004C10BD"/>
    <w:rsid w:val="004C1263"/>
    <w:rsid w:val="004C398F"/>
    <w:rsid w:val="004C644F"/>
    <w:rsid w:val="004C7E78"/>
    <w:rsid w:val="004D474B"/>
    <w:rsid w:val="004D5108"/>
    <w:rsid w:val="004D5DB8"/>
    <w:rsid w:val="004E02DF"/>
    <w:rsid w:val="004E35F0"/>
    <w:rsid w:val="004E4333"/>
    <w:rsid w:val="004F2E87"/>
    <w:rsid w:val="005015C6"/>
    <w:rsid w:val="005059EC"/>
    <w:rsid w:val="005069EA"/>
    <w:rsid w:val="005074AB"/>
    <w:rsid w:val="00510B25"/>
    <w:rsid w:val="00511248"/>
    <w:rsid w:val="00511D17"/>
    <w:rsid w:val="00513E63"/>
    <w:rsid w:val="005223F5"/>
    <w:rsid w:val="00522FCF"/>
    <w:rsid w:val="00526331"/>
    <w:rsid w:val="00527900"/>
    <w:rsid w:val="00530997"/>
    <w:rsid w:val="00531FCA"/>
    <w:rsid w:val="005322D5"/>
    <w:rsid w:val="00535985"/>
    <w:rsid w:val="005374A2"/>
    <w:rsid w:val="00537B3C"/>
    <w:rsid w:val="00540978"/>
    <w:rsid w:val="00540A7C"/>
    <w:rsid w:val="005410AD"/>
    <w:rsid w:val="00541D44"/>
    <w:rsid w:val="00546DFB"/>
    <w:rsid w:val="00553655"/>
    <w:rsid w:val="005543DD"/>
    <w:rsid w:val="005559C6"/>
    <w:rsid w:val="00557F0D"/>
    <w:rsid w:val="005601B4"/>
    <w:rsid w:val="00565510"/>
    <w:rsid w:val="005676F9"/>
    <w:rsid w:val="00592DEF"/>
    <w:rsid w:val="00597530"/>
    <w:rsid w:val="005A30E9"/>
    <w:rsid w:val="005A58DB"/>
    <w:rsid w:val="005A7B7F"/>
    <w:rsid w:val="005B4F18"/>
    <w:rsid w:val="005B5D72"/>
    <w:rsid w:val="005C0C45"/>
    <w:rsid w:val="005C60C3"/>
    <w:rsid w:val="005C6591"/>
    <w:rsid w:val="005D0174"/>
    <w:rsid w:val="005D641E"/>
    <w:rsid w:val="005F3598"/>
    <w:rsid w:val="005F437F"/>
    <w:rsid w:val="006009D5"/>
    <w:rsid w:val="00600CB5"/>
    <w:rsid w:val="00602688"/>
    <w:rsid w:val="00602FE9"/>
    <w:rsid w:val="006205C5"/>
    <w:rsid w:val="0062258B"/>
    <w:rsid w:val="00622596"/>
    <w:rsid w:val="006250B2"/>
    <w:rsid w:val="006257CD"/>
    <w:rsid w:val="0062670E"/>
    <w:rsid w:val="00631D84"/>
    <w:rsid w:val="006327F3"/>
    <w:rsid w:val="006333C9"/>
    <w:rsid w:val="00643112"/>
    <w:rsid w:val="00645439"/>
    <w:rsid w:val="00647582"/>
    <w:rsid w:val="006534DB"/>
    <w:rsid w:val="00655EE5"/>
    <w:rsid w:val="0065768E"/>
    <w:rsid w:val="00657B08"/>
    <w:rsid w:val="00667D6F"/>
    <w:rsid w:val="00670C34"/>
    <w:rsid w:val="00670CDC"/>
    <w:rsid w:val="00677A25"/>
    <w:rsid w:val="006947A3"/>
    <w:rsid w:val="00696515"/>
    <w:rsid w:val="006A16EC"/>
    <w:rsid w:val="006A2BA4"/>
    <w:rsid w:val="006A2FC0"/>
    <w:rsid w:val="006A4347"/>
    <w:rsid w:val="006A7910"/>
    <w:rsid w:val="006B15D3"/>
    <w:rsid w:val="006B1EFB"/>
    <w:rsid w:val="006B5DAF"/>
    <w:rsid w:val="006B797C"/>
    <w:rsid w:val="006C28DB"/>
    <w:rsid w:val="006C3F32"/>
    <w:rsid w:val="006C4288"/>
    <w:rsid w:val="006C4936"/>
    <w:rsid w:val="006C5CCD"/>
    <w:rsid w:val="006D041C"/>
    <w:rsid w:val="006E0A05"/>
    <w:rsid w:val="006E14D0"/>
    <w:rsid w:val="006E2493"/>
    <w:rsid w:val="006E4109"/>
    <w:rsid w:val="006F2F9B"/>
    <w:rsid w:val="006F36C8"/>
    <w:rsid w:val="00700782"/>
    <w:rsid w:val="00705E89"/>
    <w:rsid w:val="00712098"/>
    <w:rsid w:val="00713F2C"/>
    <w:rsid w:val="0071686E"/>
    <w:rsid w:val="00716D81"/>
    <w:rsid w:val="00721345"/>
    <w:rsid w:val="007219C3"/>
    <w:rsid w:val="00722399"/>
    <w:rsid w:val="00725C0D"/>
    <w:rsid w:val="0073142C"/>
    <w:rsid w:val="007319F1"/>
    <w:rsid w:val="00733893"/>
    <w:rsid w:val="00735EB7"/>
    <w:rsid w:val="007367A4"/>
    <w:rsid w:val="00737529"/>
    <w:rsid w:val="0074031A"/>
    <w:rsid w:val="00741CC0"/>
    <w:rsid w:val="007433BA"/>
    <w:rsid w:val="00745C4E"/>
    <w:rsid w:val="0074639B"/>
    <w:rsid w:val="007530F6"/>
    <w:rsid w:val="00756031"/>
    <w:rsid w:val="00770CFD"/>
    <w:rsid w:val="00771131"/>
    <w:rsid w:val="007724B1"/>
    <w:rsid w:val="00776DA2"/>
    <w:rsid w:val="00797D57"/>
    <w:rsid w:val="007A5429"/>
    <w:rsid w:val="007A6F61"/>
    <w:rsid w:val="007A75C6"/>
    <w:rsid w:val="007A79DE"/>
    <w:rsid w:val="007B36C3"/>
    <w:rsid w:val="007B5FA2"/>
    <w:rsid w:val="007B73EA"/>
    <w:rsid w:val="007C3A57"/>
    <w:rsid w:val="007C7976"/>
    <w:rsid w:val="007D04EA"/>
    <w:rsid w:val="007D13AD"/>
    <w:rsid w:val="007D2CC0"/>
    <w:rsid w:val="007D43D0"/>
    <w:rsid w:val="007D4596"/>
    <w:rsid w:val="007D7E76"/>
    <w:rsid w:val="007E01A7"/>
    <w:rsid w:val="007E09DC"/>
    <w:rsid w:val="007E5992"/>
    <w:rsid w:val="007E7E62"/>
    <w:rsid w:val="007F52CD"/>
    <w:rsid w:val="007F7630"/>
    <w:rsid w:val="007F79D8"/>
    <w:rsid w:val="008063F6"/>
    <w:rsid w:val="008124AD"/>
    <w:rsid w:val="008151AB"/>
    <w:rsid w:val="00815D08"/>
    <w:rsid w:val="00815D4A"/>
    <w:rsid w:val="00815D5A"/>
    <w:rsid w:val="00815E1A"/>
    <w:rsid w:val="00816034"/>
    <w:rsid w:val="008167EC"/>
    <w:rsid w:val="0082055A"/>
    <w:rsid w:val="0082378D"/>
    <w:rsid w:val="008249FD"/>
    <w:rsid w:val="00832001"/>
    <w:rsid w:val="00836137"/>
    <w:rsid w:val="008470A2"/>
    <w:rsid w:val="008601C2"/>
    <w:rsid w:val="00862058"/>
    <w:rsid w:val="00866FEB"/>
    <w:rsid w:val="00867A9B"/>
    <w:rsid w:val="00874DE4"/>
    <w:rsid w:val="00875B72"/>
    <w:rsid w:val="00875C21"/>
    <w:rsid w:val="0088084F"/>
    <w:rsid w:val="00884F87"/>
    <w:rsid w:val="00884FFE"/>
    <w:rsid w:val="00887CF4"/>
    <w:rsid w:val="008929ED"/>
    <w:rsid w:val="00892B7A"/>
    <w:rsid w:val="00892E58"/>
    <w:rsid w:val="008942A2"/>
    <w:rsid w:val="00894860"/>
    <w:rsid w:val="0089778D"/>
    <w:rsid w:val="008A260B"/>
    <w:rsid w:val="008A38DB"/>
    <w:rsid w:val="008A450A"/>
    <w:rsid w:val="008A7336"/>
    <w:rsid w:val="008B2A4E"/>
    <w:rsid w:val="008B36B6"/>
    <w:rsid w:val="008B38AA"/>
    <w:rsid w:val="008B7468"/>
    <w:rsid w:val="008C26E9"/>
    <w:rsid w:val="008C76BC"/>
    <w:rsid w:val="008D07A9"/>
    <w:rsid w:val="008D19BB"/>
    <w:rsid w:val="008D1B28"/>
    <w:rsid w:val="008D26D8"/>
    <w:rsid w:val="008D2907"/>
    <w:rsid w:val="008F07BB"/>
    <w:rsid w:val="008F4F09"/>
    <w:rsid w:val="008F66ED"/>
    <w:rsid w:val="00900EAE"/>
    <w:rsid w:val="0090399B"/>
    <w:rsid w:val="00905FE9"/>
    <w:rsid w:val="00910FFC"/>
    <w:rsid w:val="00911020"/>
    <w:rsid w:val="00913BD5"/>
    <w:rsid w:val="0091400F"/>
    <w:rsid w:val="00915D75"/>
    <w:rsid w:val="00916D12"/>
    <w:rsid w:val="0092660C"/>
    <w:rsid w:val="00933EEE"/>
    <w:rsid w:val="00934ADD"/>
    <w:rsid w:val="00936FBF"/>
    <w:rsid w:val="00937BFF"/>
    <w:rsid w:val="00942E8A"/>
    <w:rsid w:val="00943FB2"/>
    <w:rsid w:val="00945F10"/>
    <w:rsid w:val="009472AA"/>
    <w:rsid w:val="0095185C"/>
    <w:rsid w:val="009533F8"/>
    <w:rsid w:val="0095515A"/>
    <w:rsid w:val="00957166"/>
    <w:rsid w:val="00965530"/>
    <w:rsid w:val="0096597D"/>
    <w:rsid w:val="00965BE1"/>
    <w:rsid w:val="00965FB0"/>
    <w:rsid w:val="009716AA"/>
    <w:rsid w:val="00980D8F"/>
    <w:rsid w:val="009915B7"/>
    <w:rsid w:val="00991D77"/>
    <w:rsid w:val="00991EC5"/>
    <w:rsid w:val="00997395"/>
    <w:rsid w:val="009A36DF"/>
    <w:rsid w:val="009A6880"/>
    <w:rsid w:val="009B0205"/>
    <w:rsid w:val="009B03F3"/>
    <w:rsid w:val="009B05E6"/>
    <w:rsid w:val="009B234D"/>
    <w:rsid w:val="009B34D8"/>
    <w:rsid w:val="009C2247"/>
    <w:rsid w:val="009C36A7"/>
    <w:rsid w:val="009C5803"/>
    <w:rsid w:val="009C628D"/>
    <w:rsid w:val="009D166D"/>
    <w:rsid w:val="009D260A"/>
    <w:rsid w:val="009D358D"/>
    <w:rsid w:val="009E2D5E"/>
    <w:rsid w:val="009E540C"/>
    <w:rsid w:val="009F03EC"/>
    <w:rsid w:val="009F527B"/>
    <w:rsid w:val="00A01EEF"/>
    <w:rsid w:val="00A04E81"/>
    <w:rsid w:val="00A127D6"/>
    <w:rsid w:val="00A1410C"/>
    <w:rsid w:val="00A141F8"/>
    <w:rsid w:val="00A14967"/>
    <w:rsid w:val="00A21EE1"/>
    <w:rsid w:val="00A24313"/>
    <w:rsid w:val="00A327C0"/>
    <w:rsid w:val="00A36BB4"/>
    <w:rsid w:val="00A42026"/>
    <w:rsid w:val="00A43B16"/>
    <w:rsid w:val="00A45E44"/>
    <w:rsid w:val="00A541B7"/>
    <w:rsid w:val="00A55B55"/>
    <w:rsid w:val="00A6240C"/>
    <w:rsid w:val="00A6488F"/>
    <w:rsid w:val="00A64A65"/>
    <w:rsid w:val="00A64BDB"/>
    <w:rsid w:val="00A80B8D"/>
    <w:rsid w:val="00A822DA"/>
    <w:rsid w:val="00A965D6"/>
    <w:rsid w:val="00A96AB6"/>
    <w:rsid w:val="00A97513"/>
    <w:rsid w:val="00AA2D12"/>
    <w:rsid w:val="00AA2E3C"/>
    <w:rsid w:val="00AA7D9B"/>
    <w:rsid w:val="00AA7E62"/>
    <w:rsid w:val="00AB4A5A"/>
    <w:rsid w:val="00AB52E1"/>
    <w:rsid w:val="00AB59BB"/>
    <w:rsid w:val="00AB676A"/>
    <w:rsid w:val="00AC1049"/>
    <w:rsid w:val="00AC15EB"/>
    <w:rsid w:val="00AC4F93"/>
    <w:rsid w:val="00AD00D2"/>
    <w:rsid w:val="00AD21F6"/>
    <w:rsid w:val="00AD61C7"/>
    <w:rsid w:val="00AD6C59"/>
    <w:rsid w:val="00AD71F6"/>
    <w:rsid w:val="00AE0A54"/>
    <w:rsid w:val="00AE0ECC"/>
    <w:rsid w:val="00AE24BC"/>
    <w:rsid w:val="00AE56C2"/>
    <w:rsid w:val="00AE6ADA"/>
    <w:rsid w:val="00AE6F76"/>
    <w:rsid w:val="00AE7421"/>
    <w:rsid w:val="00AF6E86"/>
    <w:rsid w:val="00AF7363"/>
    <w:rsid w:val="00B01673"/>
    <w:rsid w:val="00B0193C"/>
    <w:rsid w:val="00B02B13"/>
    <w:rsid w:val="00B05810"/>
    <w:rsid w:val="00B11CA3"/>
    <w:rsid w:val="00B11E25"/>
    <w:rsid w:val="00B17B18"/>
    <w:rsid w:val="00B24ED7"/>
    <w:rsid w:val="00B347EA"/>
    <w:rsid w:val="00B34BA1"/>
    <w:rsid w:val="00B353D6"/>
    <w:rsid w:val="00B42474"/>
    <w:rsid w:val="00B51D2F"/>
    <w:rsid w:val="00B54661"/>
    <w:rsid w:val="00B57794"/>
    <w:rsid w:val="00B6294B"/>
    <w:rsid w:val="00B64C88"/>
    <w:rsid w:val="00B671D3"/>
    <w:rsid w:val="00B8041B"/>
    <w:rsid w:val="00B87280"/>
    <w:rsid w:val="00B907F4"/>
    <w:rsid w:val="00B90B85"/>
    <w:rsid w:val="00B90EF6"/>
    <w:rsid w:val="00B91F0D"/>
    <w:rsid w:val="00B92BDD"/>
    <w:rsid w:val="00B9474A"/>
    <w:rsid w:val="00B969B5"/>
    <w:rsid w:val="00BB10A4"/>
    <w:rsid w:val="00BC3556"/>
    <w:rsid w:val="00BD0810"/>
    <w:rsid w:val="00BD792E"/>
    <w:rsid w:val="00BE0CFE"/>
    <w:rsid w:val="00BE58D6"/>
    <w:rsid w:val="00BF3915"/>
    <w:rsid w:val="00BF66D8"/>
    <w:rsid w:val="00BF67A3"/>
    <w:rsid w:val="00C00A68"/>
    <w:rsid w:val="00C032DF"/>
    <w:rsid w:val="00C05D7E"/>
    <w:rsid w:val="00C12BD0"/>
    <w:rsid w:val="00C207C0"/>
    <w:rsid w:val="00C252C3"/>
    <w:rsid w:val="00C262B7"/>
    <w:rsid w:val="00C30DD7"/>
    <w:rsid w:val="00C47610"/>
    <w:rsid w:val="00C5330E"/>
    <w:rsid w:val="00C65728"/>
    <w:rsid w:val="00C66C18"/>
    <w:rsid w:val="00C66D19"/>
    <w:rsid w:val="00C713D4"/>
    <w:rsid w:val="00C800CE"/>
    <w:rsid w:val="00C820E6"/>
    <w:rsid w:val="00C83C89"/>
    <w:rsid w:val="00C86C89"/>
    <w:rsid w:val="00CA4A78"/>
    <w:rsid w:val="00CA5D62"/>
    <w:rsid w:val="00CA79A2"/>
    <w:rsid w:val="00CB3D28"/>
    <w:rsid w:val="00CB458A"/>
    <w:rsid w:val="00CB6287"/>
    <w:rsid w:val="00CD64DC"/>
    <w:rsid w:val="00CD6C85"/>
    <w:rsid w:val="00CE5EEB"/>
    <w:rsid w:val="00CE795A"/>
    <w:rsid w:val="00CF26CF"/>
    <w:rsid w:val="00CF36F2"/>
    <w:rsid w:val="00CF509E"/>
    <w:rsid w:val="00D037AE"/>
    <w:rsid w:val="00D03A8F"/>
    <w:rsid w:val="00D141F0"/>
    <w:rsid w:val="00D15697"/>
    <w:rsid w:val="00D15880"/>
    <w:rsid w:val="00D2313D"/>
    <w:rsid w:val="00D23DB7"/>
    <w:rsid w:val="00D27314"/>
    <w:rsid w:val="00D278AE"/>
    <w:rsid w:val="00D30DF4"/>
    <w:rsid w:val="00D42DA7"/>
    <w:rsid w:val="00D43ABC"/>
    <w:rsid w:val="00D46DD1"/>
    <w:rsid w:val="00D516D5"/>
    <w:rsid w:val="00D51AAD"/>
    <w:rsid w:val="00D56B79"/>
    <w:rsid w:val="00D604A1"/>
    <w:rsid w:val="00D631A7"/>
    <w:rsid w:val="00D6616F"/>
    <w:rsid w:val="00D807B9"/>
    <w:rsid w:val="00D82448"/>
    <w:rsid w:val="00D82AF5"/>
    <w:rsid w:val="00D852AB"/>
    <w:rsid w:val="00D858DC"/>
    <w:rsid w:val="00D93A03"/>
    <w:rsid w:val="00DA03A7"/>
    <w:rsid w:val="00DA7072"/>
    <w:rsid w:val="00DB292B"/>
    <w:rsid w:val="00DB6989"/>
    <w:rsid w:val="00DC0E46"/>
    <w:rsid w:val="00DD033D"/>
    <w:rsid w:val="00DD0B27"/>
    <w:rsid w:val="00DD14E9"/>
    <w:rsid w:val="00DD1D1C"/>
    <w:rsid w:val="00DD3C3C"/>
    <w:rsid w:val="00DD4BB9"/>
    <w:rsid w:val="00DD4FE3"/>
    <w:rsid w:val="00DD7AEC"/>
    <w:rsid w:val="00DE7615"/>
    <w:rsid w:val="00DF10FF"/>
    <w:rsid w:val="00DF2B1C"/>
    <w:rsid w:val="00DF39AC"/>
    <w:rsid w:val="00DF3CE5"/>
    <w:rsid w:val="00DF3DED"/>
    <w:rsid w:val="00DF6B5D"/>
    <w:rsid w:val="00E00D0B"/>
    <w:rsid w:val="00E21EFA"/>
    <w:rsid w:val="00E23B0E"/>
    <w:rsid w:val="00E253CD"/>
    <w:rsid w:val="00E2683D"/>
    <w:rsid w:val="00E324C9"/>
    <w:rsid w:val="00E342B4"/>
    <w:rsid w:val="00E42EF6"/>
    <w:rsid w:val="00E435EE"/>
    <w:rsid w:val="00E43A43"/>
    <w:rsid w:val="00E43F99"/>
    <w:rsid w:val="00E46667"/>
    <w:rsid w:val="00E51C5E"/>
    <w:rsid w:val="00E557C5"/>
    <w:rsid w:val="00E6229B"/>
    <w:rsid w:val="00E64641"/>
    <w:rsid w:val="00E64647"/>
    <w:rsid w:val="00E67656"/>
    <w:rsid w:val="00E71229"/>
    <w:rsid w:val="00E73692"/>
    <w:rsid w:val="00E74812"/>
    <w:rsid w:val="00E779E4"/>
    <w:rsid w:val="00E8194B"/>
    <w:rsid w:val="00E8227B"/>
    <w:rsid w:val="00E8230D"/>
    <w:rsid w:val="00E84320"/>
    <w:rsid w:val="00E85730"/>
    <w:rsid w:val="00E86553"/>
    <w:rsid w:val="00E94280"/>
    <w:rsid w:val="00EA0C8F"/>
    <w:rsid w:val="00EA1486"/>
    <w:rsid w:val="00EA20FC"/>
    <w:rsid w:val="00EA3C5D"/>
    <w:rsid w:val="00EA4461"/>
    <w:rsid w:val="00EA491F"/>
    <w:rsid w:val="00EA6201"/>
    <w:rsid w:val="00EA79C0"/>
    <w:rsid w:val="00EA7A7B"/>
    <w:rsid w:val="00EA7F59"/>
    <w:rsid w:val="00EB163E"/>
    <w:rsid w:val="00EB345B"/>
    <w:rsid w:val="00EB5384"/>
    <w:rsid w:val="00EB5FA4"/>
    <w:rsid w:val="00EC6BA5"/>
    <w:rsid w:val="00ED082F"/>
    <w:rsid w:val="00ED0AB4"/>
    <w:rsid w:val="00ED49F8"/>
    <w:rsid w:val="00ED6B7A"/>
    <w:rsid w:val="00ED6D72"/>
    <w:rsid w:val="00EE2632"/>
    <w:rsid w:val="00EE4212"/>
    <w:rsid w:val="00EE6A89"/>
    <w:rsid w:val="00EF0B10"/>
    <w:rsid w:val="00EF1864"/>
    <w:rsid w:val="00EF1EDC"/>
    <w:rsid w:val="00EF4231"/>
    <w:rsid w:val="00F0188A"/>
    <w:rsid w:val="00F106D4"/>
    <w:rsid w:val="00F11ECF"/>
    <w:rsid w:val="00F13327"/>
    <w:rsid w:val="00F13E9B"/>
    <w:rsid w:val="00F16779"/>
    <w:rsid w:val="00F17FD3"/>
    <w:rsid w:val="00F209DD"/>
    <w:rsid w:val="00F20FE1"/>
    <w:rsid w:val="00F2275F"/>
    <w:rsid w:val="00F22F5A"/>
    <w:rsid w:val="00F26397"/>
    <w:rsid w:val="00F2745C"/>
    <w:rsid w:val="00F37E35"/>
    <w:rsid w:val="00F43A66"/>
    <w:rsid w:val="00F448FF"/>
    <w:rsid w:val="00F47C41"/>
    <w:rsid w:val="00F5142E"/>
    <w:rsid w:val="00F63122"/>
    <w:rsid w:val="00F67A80"/>
    <w:rsid w:val="00F726FC"/>
    <w:rsid w:val="00F7584E"/>
    <w:rsid w:val="00F76BE6"/>
    <w:rsid w:val="00F81AEB"/>
    <w:rsid w:val="00F86BEE"/>
    <w:rsid w:val="00F90C38"/>
    <w:rsid w:val="00F95F99"/>
    <w:rsid w:val="00FA2D26"/>
    <w:rsid w:val="00FA2FBB"/>
    <w:rsid w:val="00FA5A1A"/>
    <w:rsid w:val="00FB0B10"/>
    <w:rsid w:val="00FC0152"/>
    <w:rsid w:val="00FC324C"/>
    <w:rsid w:val="00FC56AA"/>
    <w:rsid w:val="00FC70ED"/>
    <w:rsid w:val="00FE1428"/>
    <w:rsid w:val="00FF23F7"/>
    <w:rsid w:val="01021F25"/>
    <w:rsid w:val="01756F72"/>
    <w:rsid w:val="01AD101A"/>
    <w:rsid w:val="03161B99"/>
    <w:rsid w:val="034358ED"/>
    <w:rsid w:val="0344300C"/>
    <w:rsid w:val="03DB7B90"/>
    <w:rsid w:val="04862F1E"/>
    <w:rsid w:val="05265615"/>
    <w:rsid w:val="053913D8"/>
    <w:rsid w:val="05526E99"/>
    <w:rsid w:val="061C538D"/>
    <w:rsid w:val="06214A50"/>
    <w:rsid w:val="066B69CE"/>
    <w:rsid w:val="06C55CE8"/>
    <w:rsid w:val="07630750"/>
    <w:rsid w:val="076A2629"/>
    <w:rsid w:val="078158C0"/>
    <w:rsid w:val="0866773E"/>
    <w:rsid w:val="08920C03"/>
    <w:rsid w:val="09057B18"/>
    <w:rsid w:val="090B4A2C"/>
    <w:rsid w:val="0911207F"/>
    <w:rsid w:val="092702FC"/>
    <w:rsid w:val="09516EDF"/>
    <w:rsid w:val="098350DA"/>
    <w:rsid w:val="0A200B7B"/>
    <w:rsid w:val="0A8B6334"/>
    <w:rsid w:val="0B54673A"/>
    <w:rsid w:val="0B867103"/>
    <w:rsid w:val="0BBA29A6"/>
    <w:rsid w:val="0BC415A1"/>
    <w:rsid w:val="0C126471"/>
    <w:rsid w:val="0D115F02"/>
    <w:rsid w:val="0E211365"/>
    <w:rsid w:val="0E42044F"/>
    <w:rsid w:val="1031035A"/>
    <w:rsid w:val="104C1CC7"/>
    <w:rsid w:val="10C80F65"/>
    <w:rsid w:val="10E96DEF"/>
    <w:rsid w:val="11AF736B"/>
    <w:rsid w:val="1235718D"/>
    <w:rsid w:val="12CC23AA"/>
    <w:rsid w:val="13043170"/>
    <w:rsid w:val="13831E7A"/>
    <w:rsid w:val="13B131C5"/>
    <w:rsid w:val="13D36C5E"/>
    <w:rsid w:val="13D824C6"/>
    <w:rsid w:val="1462227A"/>
    <w:rsid w:val="147C3432"/>
    <w:rsid w:val="158A1DEE"/>
    <w:rsid w:val="162D730D"/>
    <w:rsid w:val="16551DD9"/>
    <w:rsid w:val="16575292"/>
    <w:rsid w:val="171B1EFA"/>
    <w:rsid w:val="1742264A"/>
    <w:rsid w:val="17F753DF"/>
    <w:rsid w:val="18385E66"/>
    <w:rsid w:val="184C5231"/>
    <w:rsid w:val="19BE0653"/>
    <w:rsid w:val="1AA123DE"/>
    <w:rsid w:val="1AB47C83"/>
    <w:rsid w:val="1AD75285"/>
    <w:rsid w:val="1AF50976"/>
    <w:rsid w:val="1B2B4291"/>
    <w:rsid w:val="1B6D0075"/>
    <w:rsid w:val="1B88771A"/>
    <w:rsid w:val="1B974A15"/>
    <w:rsid w:val="1B9D5C24"/>
    <w:rsid w:val="1CDE0921"/>
    <w:rsid w:val="1DB210F5"/>
    <w:rsid w:val="1DC264D1"/>
    <w:rsid w:val="1E22286F"/>
    <w:rsid w:val="1E2406FF"/>
    <w:rsid w:val="1E8200A7"/>
    <w:rsid w:val="1EB6203D"/>
    <w:rsid w:val="1F4C7D4E"/>
    <w:rsid w:val="1F7B73B7"/>
    <w:rsid w:val="1FFC753C"/>
    <w:rsid w:val="20322872"/>
    <w:rsid w:val="20FA0AE2"/>
    <w:rsid w:val="21D677CA"/>
    <w:rsid w:val="21F044E6"/>
    <w:rsid w:val="21FF521C"/>
    <w:rsid w:val="234F61BF"/>
    <w:rsid w:val="236C57F3"/>
    <w:rsid w:val="24320814"/>
    <w:rsid w:val="247B5217"/>
    <w:rsid w:val="250C58E6"/>
    <w:rsid w:val="25341526"/>
    <w:rsid w:val="259B782A"/>
    <w:rsid w:val="261C4EC1"/>
    <w:rsid w:val="265F0B14"/>
    <w:rsid w:val="26A741EE"/>
    <w:rsid w:val="28A123DD"/>
    <w:rsid w:val="28AD1303"/>
    <w:rsid w:val="28E26A11"/>
    <w:rsid w:val="29792314"/>
    <w:rsid w:val="2AC31A6F"/>
    <w:rsid w:val="2ADB2F90"/>
    <w:rsid w:val="2AE30A1D"/>
    <w:rsid w:val="2B03505C"/>
    <w:rsid w:val="2B062EC1"/>
    <w:rsid w:val="2B52695A"/>
    <w:rsid w:val="2B754ADA"/>
    <w:rsid w:val="2C0A6472"/>
    <w:rsid w:val="2D125699"/>
    <w:rsid w:val="2D227DF8"/>
    <w:rsid w:val="2D4A30B5"/>
    <w:rsid w:val="2DA670F9"/>
    <w:rsid w:val="2E2E101D"/>
    <w:rsid w:val="2E321ECD"/>
    <w:rsid w:val="2E530C6F"/>
    <w:rsid w:val="2EFB02E4"/>
    <w:rsid w:val="2F015176"/>
    <w:rsid w:val="2F3778F1"/>
    <w:rsid w:val="2F493758"/>
    <w:rsid w:val="2F8A6913"/>
    <w:rsid w:val="30077F63"/>
    <w:rsid w:val="3024402D"/>
    <w:rsid w:val="303C3A25"/>
    <w:rsid w:val="30796EBD"/>
    <w:rsid w:val="30C20FF1"/>
    <w:rsid w:val="31C16B37"/>
    <w:rsid w:val="31D63712"/>
    <w:rsid w:val="3236653B"/>
    <w:rsid w:val="32AD69CC"/>
    <w:rsid w:val="335226FB"/>
    <w:rsid w:val="33B0446E"/>
    <w:rsid w:val="33BE302F"/>
    <w:rsid w:val="3509204C"/>
    <w:rsid w:val="351451C1"/>
    <w:rsid w:val="358061D4"/>
    <w:rsid w:val="358747BA"/>
    <w:rsid w:val="35994503"/>
    <w:rsid w:val="35C23495"/>
    <w:rsid w:val="3619454C"/>
    <w:rsid w:val="36254C79"/>
    <w:rsid w:val="36752EF1"/>
    <w:rsid w:val="37260D81"/>
    <w:rsid w:val="37294D73"/>
    <w:rsid w:val="37645C9B"/>
    <w:rsid w:val="381A106C"/>
    <w:rsid w:val="38CC24E3"/>
    <w:rsid w:val="38E47094"/>
    <w:rsid w:val="39812A12"/>
    <w:rsid w:val="39A771E6"/>
    <w:rsid w:val="39B16DA7"/>
    <w:rsid w:val="3ACA3D62"/>
    <w:rsid w:val="3B070E17"/>
    <w:rsid w:val="3C67276D"/>
    <w:rsid w:val="3CB5579D"/>
    <w:rsid w:val="3D895930"/>
    <w:rsid w:val="3D9A1387"/>
    <w:rsid w:val="3DE23C97"/>
    <w:rsid w:val="3DF1031B"/>
    <w:rsid w:val="3F1370CD"/>
    <w:rsid w:val="3FB0085B"/>
    <w:rsid w:val="407712FB"/>
    <w:rsid w:val="413E138E"/>
    <w:rsid w:val="41B75F61"/>
    <w:rsid w:val="41C7791D"/>
    <w:rsid w:val="41CE268F"/>
    <w:rsid w:val="427371D3"/>
    <w:rsid w:val="43AC6A00"/>
    <w:rsid w:val="43B21B3C"/>
    <w:rsid w:val="43CB7DA4"/>
    <w:rsid w:val="43EB1029"/>
    <w:rsid w:val="43F6794C"/>
    <w:rsid w:val="44534BCF"/>
    <w:rsid w:val="44F42F7F"/>
    <w:rsid w:val="450C4E64"/>
    <w:rsid w:val="451A4DDC"/>
    <w:rsid w:val="453C4FA7"/>
    <w:rsid w:val="46F012F9"/>
    <w:rsid w:val="470A5F75"/>
    <w:rsid w:val="4827035C"/>
    <w:rsid w:val="488F1B84"/>
    <w:rsid w:val="491A0D18"/>
    <w:rsid w:val="499C1C35"/>
    <w:rsid w:val="49C8030C"/>
    <w:rsid w:val="49E476BF"/>
    <w:rsid w:val="4A4D616A"/>
    <w:rsid w:val="4A772F71"/>
    <w:rsid w:val="4B095653"/>
    <w:rsid w:val="4B0B1799"/>
    <w:rsid w:val="4B464B53"/>
    <w:rsid w:val="4B6A0111"/>
    <w:rsid w:val="4DAD259B"/>
    <w:rsid w:val="4DB5353B"/>
    <w:rsid w:val="4DB92B4A"/>
    <w:rsid w:val="4DD06ECE"/>
    <w:rsid w:val="4EAA3C5E"/>
    <w:rsid w:val="4EB30198"/>
    <w:rsid w:val="4EE01C53"/>
    <w:rsid w:val="4F5001B0"/>
    <w:rsid w:val="4FB85557"/>
    <w:rsid w:val="4FE92D8A"/>
    <w:rsid w:val="50984D01"/>
    <w:rsid w:val="51534672"/>
    <w:rsid w:val="5200360F"/>
    <w:rsid w:val="522D3402"/>
    <w:rsid w:val="535449BE"/>
    <w:rsid w:val="53B12913"/>
    <w:rsid w:val="54204706"/>
    <w:rsid w:val="54904399"/>
    <w:rsid w:val="551B1111"/>
    <w:rsid w:val="558E1666"/>
    <w:rsid w:val="56760221"/>
    <w:rsid w:val="57CD2509"/>
    <w:rsid w:val="5831685A"/>
    <w:rsid w:val="58711B6E"/>
    <w:rsid w:val="58830A41"/>
    <w:rsid w:val="591C077B"/>
    <w:rsid w:val="59390E0E"/>
    <w:rsid w:val="597F2AC5"/>
    <w:rsid w:val="598563CD"/>
    <w:rsid w:val="59CD3199"/>
    <w:rsid w:val="5AE62439"/>
    <w:rsid w:val="5B1A487D"/>
    <w:rsid w:val="5B29284B"/>
    <w:rsid w:val="5B6245B1"/>
    <w:rsid w:val="5BCE0EC9"/>
    <w:rsid w:val="5C3B2BBF"/>
    <w:rsid w:val="5C8F6A67"/>
    <w:rsid w:val="5D5B217D"/>
    <w:rsid w:val="5D8D14B8"/>
    <w:rsid w:val="5DAD6EE6"/>
    <w:rsid w:val="5E7C1BC9"/>
    <w:rsid w:val="5EA4152C"/>
    <w:rsid w:val="5FCE760F"/>
    <w:rsid w:val="603234F9"/>
    <w:rsid w:val="60354742"/>
    <w:rsid w:val="6094289E"/>
    <w:rsid w:val="60A336F6"/>
    <w:rsid w:val="60A729BD"/>
    <w:rsid w:val="6100086D"/>
    <w:rsid w:val="612B3151"/>
    <w:rsid w:val="61CA1AF5"/>
    <w:rsid w:val="62DF3BFD"/>
    <w:rsid w:val="62ED2112"/>
    <w:rsid w:val="62FA2808"/>
    <w:rsid w:val="633839B4"/>
    <w:rsid w:val="6349331C"/>
    <w:rsid w:val="639D4744"/>
    <w:rsid w:val="639E6C5A"/>
    <w:rsid w:val="63B954B0"/>
    <w:rsid w:val="647E57C1"/>
    <w:rsid w:val="64B01446"/>
    <w:rsid w:val="64B41BB8"/>
    <w:rsid w:val="64C4190B"/>
    <w:rsid w:val="65230670"/>
    <w:rsid w:val="65311E57"/>
    <w:rsid w:val="655D0533"/>
    <w:rsid w:val="66C6311C"/>
    <w:rsid w:val="6750254A"/>
    <w:rsid w:val="678216A2"/>
    <w:rsid w:val="682E35D8"/>
    <w:rsid w:val="68686640"/>
    <w:rsid w:val="686A3AA5"/>
    <w:rsid w:val="69212EC9"/>
    <w:rsid w:val="699672D8"/>
    <w:rsid w:val="69F577BC"/>
    <w:rsid w:val="6A6652AB"/>
    <w:rsid w:val="6A712C2E"/>
    <w:rsid w:val="6A7B679D"/>
    <w:rsid w:val="6AA01D79"/>
    <w:rsid w:val="6B067A7B"/>
    <w:rsid w:val="6C17530D"/>
    <w:rsid w:val="6C2F3BD7"/>
    <w:rsid w:val="6D400952"/>
    <w:rsid w:val="6D690BA0"/>
    <w:rsid w:val="6D957531"/>
    <w:rsid w:val="6E2D7E91"/>
    <w:rsid w:val="6E345C3F"/>
    <w:rsid w:val="6E3F1A1D"/>
    <w:rsid w:val="6E8172FB"/>
    <w:rsid w:val="6E867CCA"/>
    <w:rsid w:val="6EAB5982"/>
    <w:rsid w:val="6EBA5D9B"/>
    <w:rsid w:val="6EC24CA0"/>
    <w:rsid w:val="6F06705D"/>
    <w:rsid w:val="6F9C3C14"/>
    <w:rsid w:val="6FB90074"/>
    <w:rsid w:val="6FFB69E3"/>
    <w:rsid w:val="70504505"/>
    <w:rsid w:val="70504DF5"/>
    <w:rsid w:val="70BC476E"/>
    <w:rsid w:val="70D26D86"/>
    <w:rsid w:val="71C832A0"/>
    <w:rsid w:val="71FD032D"/>
    <w:rsid w:val="721A20A1"/>
    <w:rsid w:val="721C53BF"/>
    <w:rsid w:val="73301433"/>
    <w:rsid w:val="746705DE"/>
    <w:rsid w:val="74752D86"/>
    <w:rsid w:val="74D8281E"/>
    <w:rsid w:val="7568637B"/>
    <w:rsid w:val="75942550"/>
    <w:rsid w:val="768B118A"/>
    <w:rsid w:val="76BB634C"/>
    <w:rsid w:val="76DA62D0"/>
    <w:rsid w:val="76E7339B"/>
    <w:rsid w:val="773129CD"/>
    <w:rsid w:val="774249AA"/>
    <w:rsid w:val="774710AA"/>
    <w:rsid w:val="77784870"/>
    <w:rsid w:val="77BB0066"/>
    <w:rsid w:val="77F70C00"/>
    <w:rsid w:val="783B68AA"/>
    <w:rsid w:val="78863259"/>
    <w:rsid w:val="797D0CC5"/>
    <w:rsid w:val="7A803430"/>
    <w:rsid w:val="7AA90CA6"/>
    <w:rsid w:val="7BB62B1F"/>
    <w:rsid w:val="7BE627B5"/>
    <w:rsid w:val="7BF65913"/>
    <w:rsid w:val="7C0E0656"/>
    <w:rsid w:val="7CF23C2B"/>
    <w:rsid w:val="7CF820C9"/>
    <w:rsid w:val="7DB944DD"/>
    <w:rsid w:val="7E1D0F39"/>
    <w:rsid w:val="7E3665E3"/>
    <w:rsid w:val="7E723CF9"/>
    <w:rsid w:val="7EAC62AC"/>
    <w:rsid w:val="7FB83A5B"/>
    <w:rsid w:val="7FF6794B"/>
    <w:rsid w:val="7FFE723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semiHidden="0"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qFormat="1" w:uiPriority="39" w:semiHidden="0" w:name="toc 8"/>
    <w:lsdException w:uiPriority="39" w:name="toc 9"/>
    <w:lsdException w:qFormat="1" w:uiPriority="0" w:semiHidden="0"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qFormat="1" w:uiPriority="99" w:semiHidden="0" w:name="Body Text Indent 2"/>
    <w:lsdException w:uiPriority="99" w:name="Body Text Indent 3"/>
    <w:lsdException w:qFormat="1" w:uiPriority="99"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31"/>
    <w:qFormat/>
    <w:uiPriority w:val="99"/>
    <w:pPr>
      <w:keepNext/>
      <w:keepLines/>
      <w:spacing w:before="340" w:after="330" w:line="578" w:lineRule="auto"/>
      <w:outlineLvl w:val="0"/>
    </w:pPr>
    <w:rPr>
      <w:rFonts w:ascii="Calibri" w:hAnsi="Calibri"/>
      <w:b/>
      <w:bCs/>
      <w:kern w:val="44"/>
      <w:sz w:val="44"/>
      <w:szCs w:val="44"/>
    </w:rPr>
  </w:style>
  <w:style w:type="paragraph" w:styleId="4">
    <w:name w:val="heading 2"/>
    <w:basedOn w:val="1"/>
    <w:next w:val="5"/>
    <w:link w:val="32"/>
    <w:qFormat/>
    <w:uiPriority w:val="9"/>
    <w:pPr>
      <w:keepNext/>
      <w:keepLines/>
      <w:spacing w:before="260" w:after="260" w:line="416" w:lineRule="auto"/>
      <w:outlineLvl w:val="1"/>
    </w:pPr>
    <w:rPr>
      <w:rFonts w:ascii="Cambria" w:hAnsi="Cambria"/>
      <w:b/>
      <w:bCs/>
      <w:kern w:val="0"/>
      <w:sz w:val="32"/>
      <w:szCs w:val="32"/>
    </w:rPr>
  </w:style>
  <w:style w:type="paragraph" w:styleId="6">
    <w:name w:val="heading 3"/>
    <w:basedOn w:val="1"/>
    <w:next w:val="1"/>
    <w:link w:val="30"/>
    <w:qFormat/>
    <w:uiPriority w:val="0"/>
    <w:pPr>
      <w:keepNext/>
      <w:keepLines/>
      <w:spacing w:before="260" w:after="260" w:line="416" w:lineRule="auto"/>
      <w:outlineLvl w:val="2"/>
    </w:pPr>
    <w:rPr>
      <w:rFonts w:ascii="Calibri" w:hAnsi="Calibri"/>
      <w:b/>
      <w:bCs/>
      <w:kern w:val="0"/>
      <w:sz w:val="32"/>
      <w:szCs w:val="32"/>
    </w:rPr>
  </w:style>
  <w:style w:type="paragraph" w:styleId="7">
    <w:name w:val="heading 4"/>
    <w:basedOn w:val="1"/>
    <w:next w:val="5"/>
    <w:link w:val="34"/>
    <w:qFormat/>
    <w:uiPriority w:val="0"/>
    <w:pPr>
      <w:spacing w:before="280" w:after="290" w:line="377" w:lineRule="auto"/>
      <w:outlineLvl w:val="3"/>
    </w:pPr>
    <w:rPr>
      <w:rFonts w:ascii="Arial" w:hAnsi="Arial" w:eastAsia="黑体"/>
      <w:b/>
      <w:bCs/>
      <w:kern w:val="0"/>
      <w:sz w:val="28"/>
      <w:szCs w:val="28"/>
    </w:rPr>
  </w:style>
  <w:style w:type="paragraph" w:styleId="8">
    <w:name w:val="heading 8"/>
    <w:basedOn w:val="1"/>
    <w:next w:val="1"/>
    <w:link w:val="35"/>
    <w:unhideWhenUsed/>
    <w:qFormat/>
    <w:uiPriority w:val="9"/>
    <w:pPr>
      <w:keepNext/>
      <w:keepLines/>
      <w:spacing w:before="240" w:after="64" w:line="320" w:lineRule="auto"/>
      <w:outlineLvl w:val="7"/>
    </w:pPr>
    <w:rPr>
      <w:rFonts w:ascii="Cambria" w:hAnsi="Cambria"/>
      <w:sz w:val="24"/>
      <w:szCs w:val="24"/>
    </w:rPr>
  </w:style>
  <w:style w:type="character" w:default="1" w:styleId="26">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1"/>
    <w:link w:val="37"/>
    <w:unhideWhenUsed/>
    <w:qFormat/>
    <w:uiPriority w:val="99"/>
    <w:pPr>
      <w:spacing w:after="120"/>
      <w:ind w:left="420" w:leftChars="200"/>
    </w:pPr>
  </w:style>
  <w:style w:type="paragraph" w:styleId="5">
    <w:name w:val="Normal Indent"/>
    <w:basedOn w:val="1"/>
    <w:link w:val="33"/>
    <w:unhideWhenUsed/>
    <w:qFormat/>
    <w:uiPriority w:val="0"/>
    <w:pPr>
      <w:ind w:firstLine="420" w:firstLineChars="200"/>
    </w:pPr>
    <w:rPr>
      <w:rFonts w:ascii="Calibri" w:hAnsi="Calibri"/>
    </w:rPr>
  </w:style>
  <w:style w:type="paragraph" w:styleId="9">
    <w:name w:val="List 3"/>
    <w:basedOn w:val="1"/>
    <w:qFormat/>
    <w:uiPriority w:val="0"/>
    <w:pPr>
      <w:adjustRightInd w:val="0"/>
      <w:spacing w:line="360" w:lineRule="auto"/>
      <w:ind w:left="100" w:leftChars="400" w:hanging="200" w:hangingChars="200"/>
      <w:textAlignment w:val="baseline"/>
    </w:pPr>
    <w:rPr>
      <w:rFonts w:ascii="宋体" w:eastAsia="仿宋"/>
      <w:kern w:val="0"/>
      <w:sz w:val="28"/>
      <w:szCs w:val="21"/>
    </w:rPr>
  </w:style>
  <w:style w:type="paragraph" w:styleId="10">
    <w:name w:val="Document Map"/>
    <w:basedOn w:val="1"/>
    <w:link w:val="36"/>
    <w:unhideWhenUsed/>
    <w:qFormat/>
    <w:uiPriority w:val="99"/>
    <w:rPr>
      <w:rFonts w:ascii="宋体"/>
      <w:sz w:val="18"/>
      <w:szCs w:val="18"/>
    </w:rPr>
  </w:style>
  <w:style w:type="paragraph" w:styleId="11">
    <w:name w:val="Body Text"/>
    <w:basedOn w:val="1"/>
    <w:next w:val="12"/>
    <w:qFormat/>
    <w:uiPriority w:val="0"/>
    <w:rPr>
      <w:rFonts w:ascii="楷体_GB2312" w:hAnsi="Arial" w:eastAsia="楷体_GB2312"/>
      <w:sz w:val="28"/>
      <w:szCs w:val="28"/>
    </w:rPr>
  </w:style>
  <w:style w:type="paragraph" w:styleId="12">
    <w:name w:val="toc 8"/>
    <w:basedOn w:val="1"/>
    <w:next w:val="1"/>
    <w:unhideWhenUsed/>
    <w:qFormat/>
    <w:uiPriority w:val="39"/>
    <w:pPr>
      <w:spacing w:after="57"/>
      <w:ind w:left="1984"/>
    </w:pPr>
  </w:style>
  <w:style w:type="paragraph" w:styleId="13">
    <w:name w:val="Block Text"/>
    <w:basedOn w:val="1"/>
    <w:unhideWhenUsed/>
    <w:qFormat/>
    <w:uiPriority w:val="99"/>
    <w:pPr>
      <w:ind w:left="567" w:right="454" w:firstLine="498"/>
      <w:jc w:val="left"/>
    </w:pPr>
    <w:rPr>
      <w:rFonts w:ascii="仿宋_GB2312" w:eastAsia="仿宋_GB2312"/>
      <w:sz w:val="30"/>
      <w:szCs w:val="20"/>
    </w:rPr>
  </w:style>
  <w:style w:type="paragraph" w:styleId="14">
    <w:name w:val="Plain Text"/>
    <w:basedOn w:val="1"/>
    <w:link w:val="38"/>
    <w:unhideWhenUsed/>
    <w:qFormat/>
    <w:uiPriority w:val="99"/>
    <w:rPr>
      <w:rFonts w:ascii="宋体" w:hAnsi="Courier New"/>
      <w:kern w:val="0"/>
      <w:sz w:val="20"/>
      <w:szCs w:val="20"/>
    </w:rPr>
  </w:style>
  <w:style w:type="paragraph" w:styleId="15">
    <w:name w:val="Date"/>
    <w:basedOn w:val="1"/>
    <w:next w:val="1"/>
    <w:link w:val="39"/>
    <w:qFormat/>
    <w:uiPriority w:val="0"/>
    <w:rPr>
      <w:kern w:val="0"/>
      <w:sz w:val="24"/>
      <w:szCs w:val="20"/>
    </w:rPr>
  </w:style>
  <w:style w:type="paragraph" w:styleId="16">
    <w:name w:val="Body Text Indent 2"/>
    <w:basedOn w:val="1"/>
    <w:unhideWhenUsed/>
    <w:qFormat/>
    <w:uiPriority w:val="99"/>
    <w:pPr>
      <w:snapToGrid w:val="0"/>
      <w:spacing w:line="480" w:lineRule="exact"/>
      <w:ind w:firstLine="562" w:firstLineChars="200"/>
    </w:pPr>
    <w:rPr>
      <w:b/>
      <w:bCs/>
      <w:kern w:val="0"/>
      <w:sz w:val="28"/>
      <w:szCs w:val="28"/>
    </w:rPr>
  </w:style>
  <w:style w:type="paragraph" w:styleId="17">
    <w:name w:val="Balloon Text"/>
    <w:basedOn w:val="1"/>
    <w:link w:val="71"/>
    <w:semiHidden/>
    <w:unhideWhenUsed/>
    <w:qFormat/>
    <w:uiPriority w:val="99"/>
    <w:rPr>
      <w:sz w:val="18"/>
      <w:szCs w:val="18"/>
    </w:rPr>
  </w:style>
  <w:style w:type="paragraph" w:styleId="18">
    <w:name w:val="footer"/>
    <w:basedOn w:val="1"/>
    <w:link w:val="40"/>
    <w:unhideWhenUsed/>
    <w:qFormat/>
    <w:uiPriority w:val="0"/>
    <w:pPr>
      <w:tabs>
        <w:tab w:val="center" w:pos="4153"/>
        <w:tab w:val="right" w:pos="8306"/>
      </w:tabs>
      <w:snapToGrid w:val="0"/>
      <w:jc w:val="left"/>
    </w:pPr>
    <w:rPr>
      <w:kern w:val="0"/>
      <w:sz w:val="18"/>
      <w:szCs w:val="18"/>
    </w:rPr>
  </w:style>
  <w:style w:type="paragraph" w:styleId="19">
    <w:name w:val="header"/>
    <w:basedOn w:val="1"/>
    <w:link w:val="41"/>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20">
    <w:name w:val="toc 1"/>
    <w:basedOn w:val="1"/>
    <w:next w:val="1"/>
    <w:unhideWhenUsed/>
    <w:qFormat/>
    <w:uiPriority w:val="39"/>
    <w:rPr>
      <w:rFonts w:ascii="Calibri" w:hAnsi="Calibri"/>
    </w:rPr>
  </w:style>
  <w:style w:type="paragraph" w:styleId="21">
    <w:name w:val="toc 2"/>
    <w:basedOn w:val="1"/>
    <w:next w:val="1"/>
    <w:unhideWhenUsed/>
    <w:qFormat/>
    <w:uiPriority w:val="39"/>
    <w:pPr>
      <w:ind w:left="420" w:leftChars="200"/>
    </w:pPr>
  </w:style>
  <w:style w:type="paragraph" w:styleId="22">
    <w:name w:val="Body Text 2"/>
    <w:basedOn w:val="1"/>
    <w:link w:val="42"/>
    <w:qFormat/>
    <w:uiPriority w:val="0"/>
    <w:pPr>
      <w:adjustRightInd w:val="0"/>
      <w:spacing w:after="120" w:line="480" w:lineRule="auto"/>
      <w:textAlignment w:val="baseline"/>
    </w:pPr>
    <w:rPr>
      <w:rFonts w:ascii="宋体" w:eastAsia="仿宋"/>
      <w:kern w:val="0"/>
      <w:sz w:val="28"/>
      <w:szCs w:val="21"/>
    </w:rPr>
  </w:style>
  <w:style w:type="paragraph" w:styleId="23">
    <w:name w:val="Normal (Web)"/>
    <w:basedOn w:val="1"/>
    <w:unhideWhenUsed/>
    <w:qFormat/>
    <w:uiPriority w:val="99"/>
    <w:pPr>
      <w:jc w:val="left"/>
    </w:pPr>
    <w:rPr>
      <w:rFonts w:ascii="Calibri" w:hAnsi="Calibri"/>
      <w:kern w:val="0"/>
      <w:sz w:val="24"/>
      <w:szCs w:val="24"/>
    </w:rPr>
  </w:style>
  <w:style w:type="paragraph" w:styleId="24">
    <w:name w:val="Body Text First Indent 2"/>
    <w:basedOn w:val="2"/>
    <w:link w:val="43"/>
    <w:unhideWhenUsed/>
    <w:qFormat/>
    <w:uiPriority w:val="99"/>
    <w:pPr>
      <w:ind w:firstLine="420" w:firstLineChars="200"/>
    </w:pPr>
  </w:style>
  <w:style w:type="character" w:styleId="27">
    <w:name w:val="Strong"/>
    <w:qFormat/>
    <w:uiPriority w:val="0"/>
    <w:rPr>
      <w:b/>
    </w:rPr>
  </w:style>
  <w:style w:type="character" w:styleId="28">
    <w:name w:val="Emphasis"/>
    <w:basedOn w:val="26"/>
    <w:qFormat/>
    <w:uiPriority w:val="20"/>
    <w:rPr>
      <w:i/>
      <w:iCs/>
    </w:rPr>
  </w:style>
  <w:style w:type="character" w:styleId="29">
    <w:name w:val="Hyperlink"/>
    <w:qFormat/>
    <w:uiPriority w:val="99"/>
    <w:rPr>
      <w:color w:val="0000FF"/>
      <w:u w:val="single"/>
    </w:rPr>
  </w:style>
  <w:style w:type="character" w:customStyle="1" w:styleId="30">
    <w:name w:val="标题 3 Char"/>
    <w:link w:val="6"/>
    <w:qFormat/>
    <w:uiPriority w:val="0"/>
    <w:rPr>
      <w:rFonts w:ascii="Calibri" w:hAnsi="Calibri" w:eastAsia="宋体" w:cs="Times New Roman"/>
      <w:b/>
      <w:bCs/>
      <w:sz w:val="32"/>
      <w:szCs w:val="32"/>
    </w:rPr>
  </w:style>
  <w:style w:type="character" w:customStyle="1" w:styleId="31">
    <w:name w:val="标题 1 Char"/>
    <w:link w:val="3"/>
    <w:qFormat/>
    <w:uiPriority w:val="99"/>
    <w:rPr>
      <w:rFonts w:ascii="Calibri" w:hAnsi="Calibri" w:eastAsia="宋体" w:cs="Times New Roman"/>
      <w:b/>
      <w:bCs/>
      <w:kern w:val="44"/>
      <w:sz w:val="44"/>
      <w:szCs w:val="44"/>
    </w:rPr>
  </w:style>
  <w:style w:type="character" w:customStyle="1" w:styleId="32">
    <w:name w:val="标题 2 Char"/>
    <w:link w:val="4"/>
    <w:qFormat/>
    <w:uiPriority w:val="9"/>
    <w:rPr>
      <w:rFonts w:ascii="Cambria" w:hAnsi="Cambria" w:eastAsia="宋体" w:cs="Times New Roman"/>
      <w:b/>
      <w:bCs/>
      <w:sz w:val="32"/>
      <w:szCs w:val="32"/>
    </w:rPr>
  </w:style>
  <w:style w:type="character" w:customStyle="1" w:styleId="33">
    <w:name w:val="正文缩进 Char"/>
    <w:link w:val="5"/>
    <w:qFormat/>
    <w:uiPriority w:val="0"/>
    <w:rPr>
      <w:rFonts w:ascii="Calibri" w:hAnsi="Calibri"/>
      <w:kern w:val="2"/>
      <w:sz w:val="21"/>
      <w:szCs w:val="22"/>
    </w:rPr>
  </w:style>
  <w:style w:type="character" w:customStyle="1" w:styleId="34">
    <w:name w:val="标题 4 Char"/>
    <w:link w:val="7"/>
    <w:qFormat/>
    <w:uiPriority w:val="0"/>
    <w:rPr>
      <w:rFonts w:ascii="Arial" w:hAnsi="Arial" w:eastAsia="黑体" w:cs="Times New Roman"/>
      <w:b/>
      <w:bCs/>
      <w:kern w:val="0"/>
      <w:sz w:val="28"/>
      <w:szCs w:val="28"/>
    </w:rPr>
  </w:style>
  <w:style w:type="character" w:customStyle="1" w:styleId="35">
    <w:name w:val="标题 8 Char"/>
    <w:basedOn w:val="26"/>
    <w:link w:val="8"/>
    <w:qFormat/>
    <w:uiPriority w:val="99"/>
    <w:rPr>
      <w:rFonts w:ascii="Cambria" w:hAnsi="Cambria" w:eastAsia="宋体" w:cs="Times New Roman"/>
      <w:kern w:val="2"/>
      <w:sz w:val="24"/>
      <w:szCs w:val="24"/>
    </w:rPr>
  </w:style>
  <w:style w:type="character" w:customStyle="1" w:styleId="36">
    <w:name w:val="文档结构图 Char"/>
    <w:link w:val="10"/>
    <w:qFormat/>
    <w:uiPriority w:val="99"/>
    <w:rPr>
      <w:rFonts w:ascii="宋体"/>
      <w:kern w:val="2"/>
      <w:sz w:val="18"/>
      <w:szCs w:val="18"/>
    </w:rPr>
  </w:style>
  <w:style w:type="character" w:customStyle="1" w:styleId="37">
    <w:name w:val="正文文本缩进 Char"/>
    <w:basedOn w:val="26"/>
    <w:link w:val="2"/>
    <w:semiHidden/>
    <w:qFormat/>
    <w:uiPriority w:val="99"/>
    <w:rPr>
      <w:kern w:val="2"/>
      <w:sz w:val="21"/>
      <w:szCs w:val="22"/>
    </w:rPr>
  </w:style>
  <w:style w:type="character" w:customStyle="1" w:styleId="38">
    <w:name w:val="纯文本 Char"/>
    <w:link w:val="14"/>
    <w:qFormat/>
    <w:uiPriority w:val="99"/>
    <w:rPr>
      <w:rFonts w:ascii="宋体" w:hAnsi="Courier New"/>
    </w:rPr>
  </w:style>
  <w:style w:type="character" w:customStyle="1" w:styleId="39">
    <w:name w:val="日期 Char"/>
    <w:link w:val="15"/>
    <w:qFormat/>
    <w:uiPriority w:val="0"/>
    <w:rPr>
      <w:rFonts w:ascii="Times New Roman" w:hAnsi="Times New Roman"/>
      <w:sz w:val="24"/>
    </w:rPr>
  </w:style>
  <w:style w:type="character" w:customStyle="1" w:styleId="40">
    <w:name w:val="页脚 Char"/>
    <w:link w:val="18"/>
    <w:qFormat/>
    <w:uiPriority w:val="99"/>
    <w:rPr>
      <w:sz w:val="18"/>
      <w:szCs w:val="18"/>
    </w:rPr>
  </w:style>
  <w:style w:type="character" w:customStyle="1" w:styleId="41">
    <w:name w:val="页眉 Char"/>
    <w:link w:val="19"/>
    <w:qFormat/>
    <w:uiPriority w:val="99"/>
    <w:rPr>
      <w:sz w:val="18"/>
      <w:szCs w:val="18"/>
    </w:rPr>
  </w:style>
  <w:style w:type="character" w:customStyle="1" w:styleId="42">
    <w:name w:val="正文文本 2 Char"/>
    <w:basedOn w:val="26"/>
    <w:link w:val="22"/>
    <w:qFormat/>
    <w:uiPriority w:val="0"/>
    <w:rPr>
      <w:rFonts w:ascii="宋体" w:eastAsia="仿宋"/>
      <w:sz w:val="28"/>
      <w:szCs w:val="21"/>
    </w:rPr>
  </w:style>
  <w:style w:type="character" w:customStyle="1" w:styleId="43">
    <w:name w:val="正文首行缩进 2 Char"/>
    <w:basedOn w:val="37"/>
    <w:link w:val="24"/>
    <w:semiHidden/>
    <w:qFormat/>
    <w:uiPriority w:val="99"/>
    <w:rPr>
      <w:kern w:val="2"/>
      <w:sz w:val="21"/>
      <w:szCs w:val="22"/>
    </w:rPr>
  </w:style>
  <w:style w:type="character" w:customStyle="1" w:styleId="44">
    <w:name w:val="htd0"/>
    <w:qFormat/>
    <w:uiPriority w:val="0"/>
  </w:style>
  <w:style w:type="character" w:customStyle="1" w:styleId="45">
    <w:name w:val="页脚 Char1"/>
    <w:semiHidden/>
    <w:qFormat/>
    <w:uiPriority w:val="99"/>
    <w:rPr>
      <w:sz w:val="18"/>
      <w:szCs w:val="18"/>
    </w:rPr>
  </w:style>
  <w:style w:type="character" w:customStyle="1" w:styleId="46">
    <w:name w:val="纯文本 Char1"/>
    <w:semiHidden/>
    <w:qFormat/>
    <w:uiPriority w:val="99"/>
    <w:rPr>
      <w:rFonts w:ascii="宋体" w:hAnsi="Courier New" w:eastAsia="宋体" w:cs="Courier New"/>
      <w:szCs w:val="21"/>
    </w:rPr>
  </w:style>
  <w:style w:type="character" w:customStyle="1" w:styleId="47">
    <w:name w:val="批注引用1"/>
    <w:link w:val="48"/>
    <w:qFormat/>
    <w:uiPriority w:val="0"/>
    <w:rPr>
      <w:rFonts w:ascii="Calibri" w:hAnsi="Calibri"/>
      <w:sz w:val="21"/>
      <w:szCs w:val="24"/>
      <w:lang w:val="en-US" w:eastAsia="zh-CN" w:bidi="ar-SA"/>
    </w:rPr>
  </w:style>
  <w:style w:type="paragraph" w:customStyle="1" w:styleId="48">
    <w:name w:val="正文111"/>
    <w:next w:val="49"/>
    <w:link w:val="47"/>
    <w:qFormat/>
    <w:uiPriority w:val="0"/>
    <w:pPr>
      <w:widowControl w:val="0"/>
      <w:jc w:val="both"/>
    </w:pPr>
    <w:rPr>
      <w:rFonts w:ascii="Calibri" w:hAnsi="Calibri" w:eastAsia="宋体" w:cs="Times New Roman"/>
      <w:sz w:val="21"/>
      <w:szCs w:val="24"/>
      <w:lang w:val="en-US" w:eastAsia="zh-CN" w:bidi="ar-SA"/>
    </w:rPr>
  </w:style>
  <w:style w:type="paragraph" w:customStyle="1" w:styleId="49">
    <w:name w:val="文本块1"/>
    <w:basedOn w:val="48"/>
    <w:qFormat/>
    <w:uiPriority w:val="0"/>
    <w:pPr>
      <w:widowControl/>
      <w:ind w:left="567" w:right="454" w:firstLine="498"/>
      <w:jc w:val="left"/>
    </w:pPr>
    <w:rPr>
      <w:rFonts w:ascii="仿宋_GB2312" w:eastAsia="仿宋_GB2312"/>
      <w:sz w:val="30"/>
      <w:szCs w:val="20"/>
    </w:rPr>
  </w:style>
  <w:style w:type="character" w:customStyle="1" w:styleId="50">
    <w:name w:val="页眉 Char1"/>
    <w:semiHidden/>
    <w:qFormat/>
    <w:uiPriority w:val="99"/>
    <w:rPr>
      <w:sz w:val="18"/>
      <w:szCs w:val="18"/>
    </w:rPr>
  </w:style>
  <w:style w:type="character" w:customStyle="1" w:styleId="51">
    <w:name w:val="日期 Char1"/>
    <w:semiHidden/>
    <w:qFormat/>
    <w:uiPriority w:val="99"/>
  </w:style>
  <w:style w:type="paragraph" w:customStyle="1" w:styleId="52">
    <w:name w:val="一级条标题"/>
    <w:basedOn w:val="53"/>
    <w:next w:val="54"/>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3">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54">
    <w:name w:val="段"/>
    <w:basedOn w:val="55"/>
    <w:next w:val="1"/>
    <w:qFormat/>
    <w:uiPriority w:val="0"/>
    <w:pPr>
      <w:widowControl/>
      <w:ind w:firstLine="200"/>
    </w:pPr>
    <w:rPr>
      <w:sz w:val="20"/>
    </w:rPr>
  </w:style>
  <w:style w:type="paragraph" w:customStyle="1" w:styleId="55">
    <w:name w:val="正文1"/>
    <w:basedOn w:val="1"/>
    <w:next w:val="56"/>
    <w:qFormat/>
    <w:uiPriority w:val="0"/>
    <w:pPr>
      <w:spacing w:line="360" w:lineRule="atLeast"/>
      <w:jc w:val="left"/>
    </w:pPr>
    <w:rPr>
      <w:rFonts w:ascii="宋体" w:hAnsi="Calibri"/>
      <w:sz w:val="24"/>
      <w:szCs w:val="20"/>
    </w:rPr>
  </w:style>
  <w:style w:type="paragraph" w:customStyle="1" w:styleId="56">
    <w:name w:val="正文文本1"/>
    <w:basedOn w:val="55"/>
    <w:next w:val="52"/>
    <w:qFormat/>
    <w:uiPriority w:val="0"/>
    <w:pPr>
      <w:spacing w:after="120"/>
    </w:pPr>
    <w:rPr>
      <w:lang w:eastAsia="en-US"/>
    </w:rPr>
  </w:style>
  <w:style w:type="paragraph" w:customStyle="1" w:styleId="57">
    <w:name w:val="纯文本1"/>
    <w:basedOn w:val="48"/>
    <w:qFormat/>
    <w:uiPriority w:val="0"/>
    <w:rPr>
      <w:rFonts w:ascii="宋体" w:hAnsi="Courier New"/>
      <w:szCs w:val="21"/>
    </w:rPr>
  </w:style>
  <w:style w:type="paragraph" w:customStyle="1" w:styleId="58">
    <w:name w:val="正文（缩进）"/>
    <w:basedOn w:val="1"/>
    <w:next w:val="1"/>
    <w:qFormat/>
    <w:uiPriority w:val="0"/>
    <w:pPr>
      <w:ind w:firstLine="480" w:firstLineChars="200"/>
    </w:pPr>
    <w:rPr>
      <w:rFonts w:ascii="Calibri" w:hAnsi="Calibri"/>
      <w:szCs w:val="24"/>
    </w:rPr>
  </w:style>
  <w:style w:type="paragraph" w:customStyle="1" w:styleId="59">
    <w:name w:val="页眉1"/>
    <w:basedOn w:val="48"/>
    <w:qFormat/>
    <w:uiPriority w:val="0"/>
    <w:pPr>
      <w:pBdr>
        <w:bottom w:val="single" w:color="000000" w:sz="6" w:space="1"/>
      </w:pBdr>
      <w:tabs>
        <w:tab w:val="center" w:pos="4153"/>
        <w:tab w:val="right" w:pos="8306"/>
      </w:tabs>
      <w:jc w:val="center"/>
    </w:pPr>
    <w:rPr>
      <w:sz w:val="18"/>
      <w:szCs w:val="18"/>
    </w:rPr>
  </w:style>
  <w:style w:type="paragraph" w:customStyle="1" w:styleId="60">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61">
    <w:name w:val="默认段落字体 Para Char Char Char Char Char Char Char"/>
    <w:basedOn w:val="1"/>
    <w:next w:val="1"/>
    <w:qFormat/>
    <w:uiPriority w:val="99"/>
    <w:pPr>
      <w:ind w:firstLine="200" w:firstLineChars="200"/>
    </w:pPr>
    <w:rPr>
      <w:rFonts w:ascii="Calibri" w:hAnsi="Calibri" w:cs="Arial"/>
      <w:szCs w:val="24"/>
    </w:rPr>
  </w:style>
  <w:style w:type="paragraph" w:customStyle="1" w:styleId="62">
    <w:name w:val="Default"/>
    <w:qFormat/>
    <w:uiPriority w:val="0"/>
    <w:pPr>
      <w:widowControl w:val="0"/>
    </w:pPr>
    <w:rPr>
      <w:rFonts w:ascii="宋体" w:hAnsi="宋体" w:eastAsia="宋体" w:cs="Times New Roman"/>
      <w:color w:val="000000"/>
      <w:sz w:val="24"/>
      <w:szCs w:val="22"/>
      <w:lang w:val="en-US" w:eastAsia="zh-CN" w:bidi="ar-SA"/>
    </w:rPr>
  </w:style>
  <w:style w:type="paragraph" w:customStyle="1" w:styleId="63">
    <w:name w:val="Char"/>
    <w:basedOn w:val="1"/>
    <w:qFormat/>
    <w:uiPriority w:val="0"/>
    <w:pPr>
      <w:tabs>
        <w:tab w:val="left" w:pos="360"/>
      </w:tabs>
      <w:ind w:firstLine="200" w:firstLineChars="200"/>
    </w:pPr>
    <w:rPr>
      <w:sz w:val="28"/>
      <w:szCs w:val="30"/>
    </w:rPr>
  </w:style>
  <w:style w:type="paragraph" w:styleId="64">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65">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66">
    <w:name w:val="正文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7">
    <w:name w:val="页脚1"/>
    <w:basedOn w:val="48"/>
    <w:qFormat/>
    <w:uiPriority w:val="0"/>
    <w:pPr>
      <w:tabs>
        <w:tab w:val="center" w:pos="4153"/>
        <w:tab w:val="right" w:pos="8306"/>
      </w:tabs>
      <w:jc w:val="left"/>
    </w:pPr>
    <w:rPr>
      <w:sz w:val="18"/>
      <w:szCs w:val="18"/>
    </w:rPr>
  </w:style>
  <w:style w:type="paragraph" w:customStyle="1" w:styleId="68">
    <w:name w:val="正文缩进 Char Char"/>
    <w:basedOn w:val="1"/>
    <w:qFormat/>
    <w:uiPriority w:val="0"/>
    <w:pPr>
      <w:spacing w:before="102" w:after="102" w:line="408" w:lineRule="auto"/>
      <w:ind w:left="1"/>
      <w:jc w:val="left"/>
      <w:textAlignment w:val="bottom"/>
    </w:pPr>
    <w:rPr>
      <w:rFonts w:ascii="宋体" w:hAnsi="宋体"/>
      <w:color w:val="000000"/>
      <w:kern w:val="0"/>
      <w:sz w:val="24"/>
      <w:szCs w:val="20"/>
    </w:rPr>
  </w:style>
  <w:style w:type="table" w:customStyle="1" w:styleId="69">
    <w:name w:val="Table Normal"/>
    <w:unhideWhenUsed/>
    <w:qFormat/>
    <w:uiPriority w:val="0"/>
    <w:tblPr>
      <w:tblCellMar>
        <w:top w:w="0" w:type="dxa"/>
        <w:left w:w="0" w:type="dxa"/>
        <w:bottom w:w="0" w:type="dxa"/>
        <w:right w:w="0" w:type="dxa"/>
      </w:tblCellMar>
    </w:tblPr>
  </w:style>
  <w:style w:type="paragraph" w:styleId="70">
    <w:name w:val="List Paragraph"/>
    <w:basedOn w:val="1"/>
    <w:link w:val="74"/>
    <w:qFormat/>
    <w:uiPriority w:val="34"/>
    <w:pPr>
      <w:widowControl/>
      <w:ind w:firstLine="420" w:firstLineChars="200"/>
      <w:jc w:val="left"/>
    </w:pPr>
    <w:rPr>
      <w:rFonts w:ascii="宋体" w:hAnsi="宋体" w:cs="宋体"/>
      <w:kern w:val="0"/>
      <w:sz w:val="24"/>
      <w:szCs w:val="24"/>
    </w:rPr>
  </w:style>
  <w:style w:type="character" w:customStyle="1" w:styleId="71">
    <w:name w:val="批注框文本 Char"/>
    <w:basedOn w:val="26"/>
    <w:link w:val="17"/>
    <w:semiHidden/>
    <w:qFormat/>
    <w:uiPriority w:val="99"/>
    <w:rPr>
      <w:kern w:val="2"/>
      <w:sz w:val="18"/>
      <w:szCs w:val="18"/>
    </w:rPr>
  </w:style>
  <w:style w:type="character" w:customStyle="1" w:styleId="72">
    <w:name w:val="max-address"/>
    <w:basedOn w:val="26"/>
    <w:qFormat/>
    <w:uiPriority w:val="0"/>
  </w:style>
  <w:style w:type="character" w:customStyle="1" w:styleId="73">
    <w:name w:val="页脚 字符"/>
    <w:qFormat/>
    <w:uiPriority w:val="0"/>
    <w:rPr>
      <w:rFonts w:eastAsia="Calibri"/>
      <w:sz w:val="18"/>
      <w:szCs w:val="18"/>
      <w:lang w:eastAsia="en-US"/>
    </w:rPr>
  </w:style>
  <w:style w:type="character" w:customStyle="1" w:styleId="74">
    <w:name w:val="列出段落 Char"/>
    <w:link w:val="70"/>
    <w:qFormat/>
    <w:uiPriority w:val="34"/>
    <w:rPr>
      <w:rFonts w:ascii="宋体" w:hAnsi="宋体" w:cs="宋体"/>
      <w:sz w:val="24"/>
      <w:szCs w:val="24"/>
    </w:rPr>
  </w:style>
  <w:style w:type="paragraph" w:customStyle="1" w:styleId="75">
    <w:name w:val="纯文本11"/>
    <w:basedOn w:val="1"/>
    <w:qFormat/>
    <w:uiPriority w:val="99"/>
    <w:rPr>
      <w:rFonts w:ascii="宋体" w:hAnsi="Courier New"/>
      <w:sz w:val="20"/>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49</Pages>
  <Words>23254</Words>
  <Characters>24590</Characters>
  <Lines>215</Lines>
  <Paragraphs>60</Paragraphs>
  <TotalTime>41</TotalTime>
  <ScaleCrop>false</ScaleCrop>
  <LinksUpToDate>false</LinksUpToDate>
  <CharactersWithSpaces>25577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2024-09-05T12:35:00Z</dcterms:created>
  <dc:creator>蛋蛋。</dc:creator>
  <cp:lastModifiedBy>九五二七</cp:lastModifiedBy>
  <cp:lastPrinted>2026-03-31T01:03:00Z</cp:lastPrinted>
  <dcterms:modified xsi:type="dcterms:W3CDTF">2026-04-02T04:27:31Z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98DDCF2DBB544891A8FB411084576D05_13</vt:lpwstr>
  </property>
  <property fmtid="{D5CDD505-2E9C-101B-9397-08002B2CF9AE}" pid="4" name="KSOTemplateDocerSaveRecord">
    <vt:lpwstr>eyJoZGlkIjoiMDZhNTk5MjQzMjM1MzE3OTg5ZWVlMTdhMDI2ZDlkMTQiLCJ1c2VySWQiOiIxMTk5MDg2MTQ0In0=</vt:lpwstr>
  </property>
</Properties>
</file>